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43BB5D6B" w:rsidR="002342EE" w:rsidRPr="002E7A7C" w:rsidRDefault="00A92129" w:rsidP="002E7A7C">
      <w:pPr>
        <w:pStyle w:val="Title"/>
      </w:pPr>
      <w:bookmarkStart w:id="0" w:name="_Hlk514855488"/>
      <w:r w:rsidRPr="00A92129">
        <w:t>Feeding by Nasogastric Tube</w:t>
      </w:r>
    </w:p>
    <w:p w14:paraId="6063C86D" w14:textId="6F116A4B" w:rsidR="00FA0A21" w:rsidRPr="00FA0A21" w:rsidRDefault="00D94BC8" w:rsidP="00AF2B9C">
      <w:pPr>
        <w:pStyle w:val="NoSpacing"/>
      </w:pPr>
      <w:bookmarkStart w:id="1" w:name="_Hlk514936415"/>
      <w:bookmarkEnd w:id="0"/>
      <w:r w:rsidRPr="005545A4">
        <w:rPr>
          <w:rStyle w:val="Strong"/>
        </w:rPr>
        <w:t xml:space="preserve">Target </w:t>
      </w:r>
      <w:r w:rsidR="00540B1E">
        <w:rPr>
          <w:rStyle w:val="Strong"/>
        </w:rPr>
        <w:t>g</w:t>
      </w:r>
      <w:r w:rsidRPr="005545A4">
        <w:rPr>
          <w:rStyle w:val="Strong"/>
        </w:rPr>
        <w:t>roup</w:t>
      </w:r>
      <w:r w:rsidR="00AF2B9C">
        <w:rPr>
          <w:rStyle w:val="Strong"/>
        </w:rPr>
        <w:t xml:space="preserve">: </w:t>
      </w:r>
      <w:r w:rsidR="00D305F5">
        <w:t>Nursing students</w:t>
      </w:r>
      <w:r w:rsidR="00FA0A21">
        <w:t xml:space="preserve">   </w:t>
      </w:r>
      <w:r w:rsidR="00FA0A21">
        <w:rPr>
          <w:rStyle w:val="Strong"/>
        </w:rPr>
        <w:t>Recommended number of participants:</w:t>
      </w:r>
      <w:r w:rsidR="00FA0A21" w:rsidRPr="00FA0A21">
        <w:rPr>
          <w:rStyle w:val="Strong"/>
        </w:rPr>
        <w:t xml:space="preserve"> </w:t>
      </w:r>
      <w:r w:rsidR="00FA0A21">
        <w:t xml:space="preserve">1-2 </w:t>
      </w:r>
      <w:r w:rsidR="002C0E80">
        <w:t>learners</w:t>
      </w:r>
    </w:p>
    <w:p w14:paraId="506C84C5" w14:textId="311433BB" w:rsidR="0000739B" w:rsidRPr="0005142C" w:rsidRDefault="00AF2B9C" w:rsidP="00AF2B9C">
      <w:pPr>
        <w:pStyle w:val="NoSpacing"/>
        <w:rPr>
          <w:rStyle w:val="Strong"/>
          <w:b w:val="0"/>
        </w:rPr>
      </w:pPr>
      <w:r w:rsidRPr="00AF2B9C">
        <w:rPr>
          <w:b/>
        </w:rPr>
        <w:t>Simulation time:</w:t>
      </w:r>
      <w:r>
        <w:t xml:space="preserve"> 10 minutes</w:t>
      </w:r>
      <w:r w:rsidR="00E01530">
        <w:t xml:space="preserve">  </w:t>
      </w:r>
      <w:r w:rsidR="002C0E80">
        <w:t xml:space="preserve">     </w:t>
      </w:r>
      <w:r w:rsidR="00E01530">
        <w:t xml:space="preserve"> </w:t>
      </w:r>
      <w:r>
        <w:rPr>
          <w:rStyle w:val="Strong"/>
        </w:rPr>
        <w:t xml:space="preserve">Debriefing time: </w:t>
      </w:r>
      <w:r w:rsidRPr="00AF2B9C">
        <w:rPr>
          <w:rStyle w:val="Strong"/>
          <w:b w:val="0"/>
        </w:rPr>
        <w:t>20 minutes</w:t>
      </w:r>
    </w:p>
    <w:p w14:paraId="5C0E579E" w14:textId="1DF337D9" w:rsidR="008152E6" w:rsidRPr="007D499C" w:rsidRDefault="00A247A9" w:rsidP="007D499C">
      <w:pPr>
        <w:pStyle w:val="Heading1"/>
      </w:pPr>
      <w:r w:rsidRPr="007D499C">
        <w:t xml:space="preserve">Curricular </w:t>
      </w:r>
      <w:r w:rsidR="004859F5" w:rsidRPr="007D499C">
        <w:t>I</w:t>
      </w:r>
      <w:r w:rsidRPr="007D499C">
        <w:t>nformation</w:t>
      </w:r>
    </w:p>
    <w:p w14:paraId="06CD16DD" w14:textId="5CFD6D01" w:rsidR="00D94BC8" w:rsidRPr="007D499C" w:rsidRDefault="00D94BC8" w:rsidP="007D499C">
      <w:pPr>
        <w:pStyle w:val="Heading2"/>
      </w:pPr>
      <w:r w:rsidRPr="007D499C">
        <w:t xml:space="preserve">Learning </w:t>
      </w:r>
      <w:r w:rsidR="00540B1E" w:rsidRPr="007D499C">
        <w:t>O</w:t>
      </w:r>
      <w:r w:rsidRPr="007D499C">
        <w:t>bjectives</w:t>
      </w:r>
    </w:p>
    <w:p w14:paraId="04F2C3B4" w14:textId="6D09E1DE" w:rsidR="00134B3F" w:rsidRPr="003B066E" w:rsidRDefault="00864B5D" w:rsidP="002D7DE9">
      <w:pPr>
        <w:rPr>
          <w:rStyle w:val="Strong"/>
          <w:b w:val="0"/>
        </w:rPr>
      </w:pPr>
      <w:r>
        <w:rPr>
          <w:rStyle w:val="Strong"/>
          <w:b w:val="0"/>
        </w:rPr>
        <w:t xml:space="preserve">After </w:t>
      </w:r>
      <w:r w:rsidR="00152CB4" w:rsidRPr="003B066E">
        <w:rPr>
          <w:rStyle w:val="Strong"/>
          <w:b w:val="0"/>
        </w:rPr>
        <w:t xml:space="preserve">completion of the simulation and debriefing session, learners </w:t>
      </w:r>
      <w:r w:rsidR="00333C05">
        <w:rPr>
          <w:rStyle w:val="Strong"/>
          <w:b w:val="0"/>
        </w:rPr>
        <w:t xml:space="preserve">will </w:t>
      </w:r>
      <w:r w:rsidR="001050DC">
        <w:rPr>
          <w:rStyle w:val="Strong"/>
          <w:b w:val="0"/>
        </w:rPr>
        <w:t>able</w:t>
      </w:r>
      <w:r w:rsidR="004E2636">
        <w:rPr>
          <w:rStyle w:val="Strong"/>
          <w:b w:val="0"/>
        </w:rPr>
        <w:t xml:space="preserve"> to</w:t>
      </w:r>
      <w:r w:rsidR="001050DC">
        <w:rPr>
          <w:rStyle w:val="Strong"/>
          <w:b w:val="0"/>
        </w:rPr>
        <w:t>:</w:t>
      </w:r>
    </w:p>
    <w:bookmarkEnd w:id="1"/>
    <w:p w14:paraId="67DCC5F3" w14:textId="19ED86D4" w:rsidR="001D5FB1" w:rsidRDefault="001D5FB1" w:rsidP="001D5FB1">
      <w:pPr>
        <w:pStyle w:val="NoSpacing"/>
        <w:numPr>
          <w:ilvl w:val="0"/>
          <w:numId w:val="21"/>
        </w:numPr>
      </w:pPr>
      <w:r>
        <w:t>Demonstrate appropriate safety precautions for a patient receiving fluid nutrition by tube administration</w:t>
      </w:r>
    </w:p>
    <w:p w14:paraId="143230EE" w14:textId="036B3A49" w:rsidR="00E97CD4" w:rsidRDefault="001D5FB1" w:rsidP="00E97CD4">
      <w:pPr>
        <w:pStyle w:val="NoSpacing"/>
        <w:numPr>
          <w:ilvl w:val="0"/>
          <w:numId w:val="21"/>
        </w:numPr>
      </w:pPr>
      <w:r>
        <w:t xml:space="preserve">Explain procedures to the patient using </w:t>
      </w:r>
      <w:r w:rsidR="007A192D">
        <w:t xml:space="preserve">an </w:t>
      </w:r>
      <w:r>
        <w:t>appropriate communication framework</w:t>
      </w:r>
    </w:p>
    <w:p w14:paraId="517A8A33" w14:textId="427817B4" w:rsidR="001D5FB1" w:rsidRPr="00E97CD4" w:rsidRDefault="001D5FB1" w:rsidP="00E97CD4">
      <w:pPr>
        <w:pStyle w:val="NoSpacing"/>
        <w:numPr>
          <w:ilvl w:val="0"/>
          <w:numId w:val="21"/>
        </w:numPr>
      </w:pPr>
      <w:r>
        <w:t>Demonstrate ability to administer fluid nutrition via a nasogastric tube</w:t>
      </w:r>
    </w:p>
    <w:p w14:paraId="68CA090E" w14:textId="59BDC2A2" w:rsidR="00DE0381" w:rsidRPr="00930052" w:rsidRDefault="001D5FB1" w:rsidP="001D5FB1">
      <w:pPr>
        <w:pStyle w:val="NoSpacing"/>
        <w:numPr>
          <w:ilvl w:val="0"/>
          <w:numId w:val="21"/>
        </w:numPr>
        <w:rPr>
          <w:szCs w:val="22"/>
        </w:rPr>
      </w:pPr>
      <w:r w:rsidRPr="00D15706">
        <w:t>Asses</w:t>
      </w:r>
      <w:r w:rsidR="007A192D">
        <w:t>s</w:t>
      </w:r>
      <w:r w:rsidRPr="00D15706">
        <w:t xml:space="preserve"> and </w:t>
      </w:r>
      <w:r>
        <w:t>document patient intake</w:t>
      </w:r>
    </w:p>
    <w:p w14:paraId="22A8BB24" w14:textId="2B7D7154" w:rsidR="00D94BC8" w:rsidRPr="007D499C" w:rsidRDefault="00D94BC8" w:rsidP="007D499C">
      <w:pPr>
        <w:pStyle w:val="Heading2"/>
      </w:pPr>
      <w:r w:rsidRPr="007D499C">
        <w:t xml:space="preserve">Scenario </w:t>
      </w:r>
      <w:r w:rsidR="00540B1E" w:rsidRPr="007D499C">
        <w:t>O</w:t>
      </w:r>
      <w:r w:rsidRPr="007D499C">
        <w:t>utline</w:t>
      </w:r>
    </w:p>
    <w:p w14:paraId="6C4B9AC5" w14:textId="1BBFCA50" w:rsidR="002361C5" w:rsidRPr="0005142C" w:rsidRDefault="00321F15" w:rsidP="009F4011">
      <w:r>
        <w:t xml:space="preserve">In this scenario a 65-year-old female is in the surgical unit, one day post-operative after having a small tumor in </w:t>
      </w:r>
      <w:r w:rsidR="00B84886">
        <w:t xml:space="preserve">the </w:t>
      </w:r>
      <w:r>
        <w:t xml:space="preserve">esophagus removed. She has a nasogastric tube in place, as she is currently receiving </w:t>
      </w:r>
      <w:r w:rsidR="00B84886">
        <w:t xml:space="preserve">only </w:t>
      </w:r>
      <w:r>
        <w:t xml:space="preserve">fluid nutrition </w:t>
      </w:r>
      <w:r w:rsidR="004B4DC0">
        <w:t xml:space="preserve">administered </w:t>
      </w:r>
      <w:r>
        <w:t xml:space="preserve">by tube. The learners are expected to take appropriate safety precautions, explain the procedures to the patient using </w:t>
      </w:r>
      <w:r w:rsidR="00B84886">
        <w:t xml:space="preserve">an </w:t>
      </w:r>
      <w:r>
        <w:t>appropriate communication framework, aspirate and assess gastric content, administer fluid nutrition, and document intake and output.</w:t>
      </w:r>
    </w:p>
    <w:p w14:paraId="55F47299" w14:textId="25709D34" w:rsidR="00285017" w:rsidRPr="002E7A7C" w:rsidRDefault="00285017" w:rsidP="002E7A7C">
      <w:pPr>
        <w:pStyle w:val="Heading2"/>
      </w:pPr>
      <w:r w:rsidRPr="002E7A7C">
        <w:t>Debriefing</w:t>
      </w:r>
    </w:p>
    <w:p w14:paraId="0C0C9B11" w14:textId="7655D81D" w:rsidR="00DE2468" w:rsidRPr="006D734A" w:rsidRDefault="00285017" w:rsidP="009F4011">
      <w:bookmarkStart w:id="2" w:name="_Hlk515357154"/>
      <w:r w:rsidRPr="00192240">
        <w:t xml:space="preserve">When </w:t>
      </w:r>
      <w:r>
        <w:t xml:space="preserve">the simulation is over, it is recommended </w:t>
      </w:r>
      <w:r w:rsidR="004B4DC0">
        <w:t xml:space="preserve">that </w:t>
      </w:r>
      <w:r>
        <w:t>a facilitator-led debriefing</w:t>
      </w:r>
      <w:r w:rsidR="004B4DC0">
        <w:t xml:space="preserve"> be completed </w:t>
      </w:r>
      <w:r w:rsidR="00C62032">
        <w:t xml:space="preserve">to discuss </w:t>
      </w:r>
      <w:r>
        <w:t xml:space="preserve">topics </w:t>
      </w:r>
      <w:r w:rsidR="00C62032">
        <w:t xml:space="preserve">related to </w:t>
      </w:r>
      <w:r>
        <w:t>the learning objectives.</w:t>
      </w:r>
      <w:r w:rsidR="00DE2468">
        <w:t xml:space="preserve"> The Event </w:t>
      </w:r>
      <w:r w:rsidR="00C62032">
        <w:t>L</w:t>
      </w:r>
      <w:r w:rsidR="00DE2468">
        <w:t xml:space="preserve">og in Session Viewer </w:t>
      </w:r>
      <w:r w:rsidR="003213BB">
        <w:t>provides</w:t>
      </w:r>
      <w:r w:rsidR="00DE2468">
        <w:t xml:space="preserve"> suggested </w:t>
      </w:r>
      <w:r w:rsidR="004A31D3" w:rsidRPr="006D734A">
        <w:t xml:space="preserve">debriefing </w:t>
      </w:r>
      <w:r w:rsidR="00DE2468" w:rsidRPr="006D734A">
        <w:t>questio</w:t>
      </w:r>
      <w:r w:rsidR="002803B4" w:rsidRPr="006D734A">
        <w:t>ns</w:t>
      </w:r>
      <w:r w:rsidR="00DE2468" w:rsidRPr="006D734A">
        <w:t xml:space="preserve">. </w:t>
      </w:r>
      <w:r w:rsidR="003904CF" w:rsidRPr="006D734A">
        <w:t>Central discussion points could be:</w:t>
      </w:r>
    </w:p>
    <w:p w14:paraId="674FE00D" w14:textId="24CC1B4C" w:rsidR="009F7224" w:rsidRDefault="00630DC1" w:rsidP="00683FA8">
      <w:pPr>
        <w:pStyle w:val="ListParagraph"/>
        <w:numPr>
          <w:ilvl w:val="0"/>
          <w:numId w:val="23"/>
        </w:numPr>
      </w:pPr>
      <w:r>
        <w:t>Safety precautions for a patient receiving fluid nutrition by tube</w:t>
      </w:r>
    </w:p>
    <w:p w14:paraId="18B0F358" w14:textId="0FA76DDD" w:rsidR="00683FA8" w:rsidRDefault="00630DC1" w:rsidP="00683FA8">
      <w:pPr>
        <w:pStyle w:val="ListParagraph"/>
        <w:numPr>
          <w:ilvl w:val="0"/>
          <w:numId w:val="23"/>
        </w:numPr>
      </w:pPr>
      <w:r>
        <w:t>Management of nasogastric feeding</w:t>
      </w:r>
    </w:p>
    <w:p w14:paraId="4F2B32C6" w14:textId="22309963" w:rsidR="00E543A5" w:rsidRDefault="00630DC1" w:rsidP="00683FA8">
      <w:pPr>
        <w:pStyle w:val="ListParagraph"/>
        <w:numPr>
          <w:ilvl w:val="0"/>
          <w:numId w:val="23"/>
        </w:numPr>
      </w:pPr>
      <w:r>
        <w:t>Communication with the patient</w:t>
      </w:r>
    </w:p>
    <w:p w14:paraId="21066463" w14:textId="5863EE62" w:rsidR="009B10CD" w:rsidRPr="002E7A7C" w:rsidRDefault="009B10CD" w:rsidP="002E7A7C">
      <w:pPr>
        <w:pStyle w:val="Heading2"/>
      </w:pPr>
      <w:bookmarkStart w:id="3" w:name="_Hlk514937051"/>
      <w:bookmarkEnd w:id="2"/>
      <w:r w:rsidRPr="002E7A7C">
        <w:t xml:space="preserve">Suggested </w:t>
      </w:r>
      <w:r w:rsidR="004859F5" w:rsidRPr="002E7A7C">
        <w:t>R</w:t>
      </w:r>
      <w:r w:rsidRPr="002E7A7C">
        <w:t>eferences</w:t>
      </w:r>
    </w:p>
    <w:bookmarkEnd w:id="3"/>
    <w:p w14:paraId="6F328295" w14:textId="5FC005AC" w:rsidR="00C75B64" w:rsidRDefault="00C75B64" w:rsidP="00C75B64">
      <w:proofErr w:type="spellStart"/>
      <w:r>
        <w:t>Ferrie</w:t>
      </w:r>
      <w:proofErr w:type="spellEnd"/>
      <w:r>
        <w:t xml:space="preserve"> S, </w:t>
      </w:r>
      <w:proofErr w:type="spellStart"/>
      <w:r>
        <w:t>Daniells</w:t>
      </w:r>
      <w:proofErr w:type="spellEnd"/>
      <w:r>
        <w:t xml:space="preserve"> S, Gagnon S, et al. </w:t>
      </w:r>
      <w:r w:rsidRPr="00C75B64">
        <w:rPr>
          <w:i/>
        </w:rPr>
        <w:t>Enteral nutrition manual for adults in health care facilities</w:t>
      </w:r>
      <w:r>
        <w:t xml:space="preserve">. Dietitians Association of Australia. 2015. Retrieved from </w:t>
      </w:r>
      <w:hyperlink r:id="rId8" w:history="1">
        <w:r w:rsidRPr="00231F3D">
          <w:rPr>
            <w:rStyle w:val="Hyperlink"/>
          </w:rPr>
          <w:t>https://daa.asn.au/wp-content/uploads/2015/04/Enteral-nutrition-manual-January-2015.pdf</w:t>
        </w:r>
      </w:hyperlink>
      <w:r>
        <w:t xml:space="preserve"> </w:t>
      </w:r>
    </w:p>
    <w:p w14:paraId="33C89024" w14:textId="62C612C2" w:rsidR="007156E9" w:rsidRDefault="00C75B64" w:rsidP="00C75B64">
      <w:pPr>
        <w:rPr>
          <w:rStyle w:val="Strong"/>
          <w:sz w:val="28"/>
          <w:szCs w:val="28"/>
        </w:rPr>
      </w:pPr>
      <w:r>
        <w:t xml:space="preserve">Pearce CB, Duncan HD. </w:t>
      </w:r>
      <w:r w:rsidRPr="00C75B64">
        <w:rPr>
          <w:i/>
        </w:rPr>
        <w:t>Enteral feeding.</w:t>
      </w:r>
      <w:r>
        <w:t xml:space="preserve"> Nasogastric, nasojejunal, percutaneous endoscopic gastrostomy, or jejunostomy: Its indications and limitations. Postgraduate Medical Journal. 78(918):198-204. May 2002. </w:t>
      </w:r>
      <w:proofErr w:type="spellStart"/>
      <w:r>
        <w:t>doi</w:t>
      </w:r>
      <w:proofErr w:type="spellEnd"/>
      <w:r>
        <w:t>: 10.1136/pmj.78.918.198</w:t>
      </w:r>
      <w:r w:rsidR="00B9202C">
        <w:t xml:space="preserve"> </w:t>
      </w:r>
      <w:r w:rsidR="007156E9">
        <w:rPr>
          <w:rStyle w:val="Strong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Heading1"/>
      </w:pPr>
      <w:r w:rsidRPr="00B4107C">
        <w:lastRenderedPageBreak/>
        <w:t>Setup and Preparation</w:t>
      </w:r>
    </w:p>
    <w:p w14:paraId="0C592328" w14:textId="6C580F3A" w:rsidR="00D94BC8" w:rsidRPr="00B4107C" w:rsidRDefault="00D94BC8" w:rsidP="00B4107C">
      <w:pPr>
        <w:pStyle w:val="Heading2"/>
      </w:pPr>
      <w:r w:rsidRPr="00B4107C">
        <w:t>Equipment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42FA711" w14:textId="7777777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>Blood pressure cuff</w:t>
      </w:r>
    </w:p>
    <w:p w14:paraId="232917C3" w14:textId="7777777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>Patient gown</w:t>
      </w:r>
    </w:p>
    <w:p w14:paraId="7A814C7B" w14:textId="7777777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>Patient ID</w:t>
      </w:r>
      <w:r>
        <w:rPr>
          <w:sz w:val="20"/>
        </w:rPr>
        <w:t xml:space="preserve"> </w:t>
      </w:r>
      <w:r w:rsidRPr="003B5735">
        <w:rPr>
          <w:sz w:val="20"/>
        </w:rPr>
        <w:t>bracelet with name and date of birth</w:t>
      </w:r>
    </w:p>
    <w:p w14:paraId="4D60172C" w14:textId="77777777" w:rsidR="008D0F98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>Patient monitor</w:t>
      </w:r>
      <w:r>
        <w:rPr>
          <w:sz w:val="20"/>
        </w:rPr>
        <w:t xml:space="preserve"> </w:t>
      </w:r>
    </w:p>
    <w:p w14:paraId="7A65E300" w14:textId="7777777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Simulated standard fluid nutrition 1.2 kcal/mL</w:t>
      </w:r>
    </w:p>
    <w:p w14:paraId="31C2660C" w14:textId="7777777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>Simulated stomach content, 50 mL</w:t>
      </w:r>
    </w:p>
    <w:p w14:paraId="09D19555" w14:textId="7777777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>SpO</w:t>
      </w:r>
      <w:r w:rsidRPr="00F56CE1">
        <w:rPr>
          <w:sz w:val="20"/>
          <w:vertAlign w:val="subscript"/>
        </w:rPr>
        <w:t>2</w:t>
      </w:r>
      <w:r w:rsidRPr="00F56CE1">
        <w:rPr>
          <w:sz w:val="20"/>
        </w:rPr>
        <w:t xml:space="preserve"> probe</w:t>
      </w:r>
    </w:p>
    <w:p w14:paraId="485A8F7B" w14:textId="72CCB234" w:rsidR="008D0F98" w:rsidRPr="00F56CE1" w:rsidRDefault="00D229D2" w:rsidP="008D0F98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Hand hygiene s</w:t>
      </w:r>
      <w:r w:rsidR="008D0F98" w:rsidRPr="00F56CE1">
        <w:rPr>
          <w:sz w:val="20"/>
        </w:rPr>
        <w:t xml:space="preserve">tation </w:t>
      </w:r>
    </w:p>
    <w:p w14:paraId="553F44F6" w14:textId="7777777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>Stethoscope</w:t>
      </w:r>
    </w:p>
    <w:p w14:paraId="7745850E" w14:textId="31DD6D87" w:rsidR="008D0F98" w:rsidRPr="00F56CE1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 w:rsidRPr="00F56CE1">
        <w:rPr>
          <w:sz w:val="20"/>
        </w:rPr>
        <w:t xml:space="preserve">Tube feeding supplies </w:t>
      </w:r>
      <w:r>
        <w:rPr>
          <w:sz w:val="20"/>
        </w:rPr>
        <w:t xml:space="preserve">- </w:t>
      </w:r>
      <w:r w:rsidRPr="00F56CE1">
        <w:rPr>
          <w:sz w:val="20"/>
        </w:rPr>
        <w:t xml:space="preserve">per local </w:t>
      </w:r>
      <w:r>
        <w:rPr>
          <w:sz w:val="20"/>
        </w:rPr>
        <w:t>protocol (n</w:t>
      </w:r>
      <w:r w:rsidRPr="00E5305D">
        <w:rPr>
          <w:sz w:val="20"/>
        </w:rPr>
        <w:t xml:space="preserve">asogastric </w:t>
      </w:r>
      <w:r>
        <w:rPr>
          <w:sz w:val="20"/>
        </w:rPr>
        <w:t>t</w:t>
      </w:r>
      <w:r w:rsidRPr="00E5305D">
        <w:rPr>
          <w:sz w:val="20"/>
        </w:rPr>
        <w:t>ube</w:t>
      </w:r>
      <w:r>
        <w:rPr>
          <w:sz w:val="20"/>
        </w:rPr>
        <w:t xml:space="preserve"> </w:t>
      </w:r>
      <w:r w:rsidRPr="00E5305D">
        <w:rPr>
          <w:sz w:val="20"/>
        </w:rPr>
        <w:t>16</w:t>
      </w:r>
      <w:r>
        <w:rPr>
          <w:sz w:val="20"/>
        </w:rPr>
        <w:t xml:space="preserve"> </w:t>
      </w:r>
      <w:r w:rsidRPr="00E5305D">
        <w:rPr>
          <w:sz w:val="20"/>
        </w:rPr>
        <w:t xml:space="preserve">Fr and </w:t>
      </w:r>
      <w:r>
        <w:rPr>
          <w:sz w:val="20"/>
        </w:rPr>
        <w:t xml:space="preserve">nasogastric feeding tube </w:t>
      </w:r>
      <w:r w:rsidRPr="00E5305D">
        <w:rPr>
          <w:sz w:val="20"/>
        </w:rPr>
        <w:t>12</w:t>
      </w:r>
      <w:r>
        <w:rPr>
          <w:sz w:val="20"/>
        </w:rPr>
        <w:t xml:space="preserve"> </w:t>
      </w:r>
      <w:r w:rsidRPr="00E5305D">
        <w:rPr>
          <w:sz w:val="20"/>
        </w:rPr>
        <w:t xml:space="preserve">Fr </w:t>
      </w:r>
      <w:r w:rsidR="00D229D2">
        <w:rPr>
          <w:sz w:val="20"/>
        </w:rPr>
        <w:t xml:space="preserve">are </w:t>
      </w:r>
      <w:r>
        <w:rPr>
          <w:sz w:val="20"/>
        </w:rPr>
        <w:t>recommended)</w:t>
      </w:r>
    </w:p>
    <w:p w14:paraId="410E554F" w14:textId="77777777" w:rsidR="008D0F98" w:rsidRDefault="008D0F98" w:rsidP="008D0F98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Water for irrigation and hydration</w:t>
      </w:r>
    </w:p>
    <w:p w14:paraId="7AB921BC" w14:textId="5DEB8ED7" w:rsidR="00BC5106" w:rsidRPr="000430AC" w:rsidRDefault="008D0F98" w:rsidP="008D0F98">
      <w:pPr>
        <w:pStyle w:val="NoSpacing"/>
        <w:numPr>
          <w:ilvl w:val="0"/>
          <w:numId w:val="10"/>
        </w:numPr>
        <w:ind w:left="357" w:hanging="357"/>
      </w:pPr>
      <w:r w:rsidRPr="00F56CE1">
        <w:rPr>
          <w:sz w:val="20"/>
        </w:rPr>
        <w:t>Universal precautions equipment</w:t>
      </w:r>
    </w:p>
    <w:p w14:paraId="4A4116A7" w14:textId="77777777" w:rsidR="00E56BF6" w:rsidRDefault="00E56BF6" w:rsidP="00B4107C">
      <w:pPr>
        <w:pStyle w:val="Heading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Heading2"/>
      </w:pPr>
      <w:r w:rsidRPr="00B4107C">
        <w:t xml:space="preserve">Preparation </w:t>
      </w:r>
      <w:r w:rsidR="001025F9">
        <w:t>Before</w:t>
      </w:r>
      <w:r w:rsidRPr="00B4107C">
        <w:t xml:space="preserve"> Simulat</w:t>
      </w:r>
      <w:r w:rsidR="001025F9">
        <w:t>ion</w:t>
      </w:r>
    </w:p>
    <w:p w14:paraId="23E76B7E" w14:textId="16BF989B" w:rsidR="008D0F98" w:rsidRDefault="00510B9A" w:rsidP="008D0F98">
      <w:pPr>
        <w:pStyle w:val="ListParagraph"/>
        <w:numPr>
          <w:ilvl w:val="0"/>
          <w:numId w:val="11"/>
        </w:numPr>
        <w:spacing w:before="0" w:after="160" w:line="259" w:lineRule="auto"/>
      </w:pPr>
      <w:bookmarkStart w:id="4" w:name="_Hlk513637564"/>
      <w:r>
        <w:t xml:space="preserve">Place </w:t>
      </w:r>
      <w:r w:rsidR="008D0F98">
        <w:t>50 mL of simulated stomach content into the stomach reservoir</w:t>
      </w:r>
      <w:bookmarkEnd w:id="4"/>
      <w:r w:rsidR="008D0F98">
        <w:t>.</w:t>
      </w:r>
    </w:p>
    <w:p w14:paraId="001393F3" w14:textId="01DEF437" w:rsidR="008D0F98" w:rsidRDefault="008D0F98" w:rsidP="008D0F98">
      <w:pPr>
        <w:pStyle w:val="ListParagraph"/>
        <w:numPr>
          <w:ilvl w:val="0"/>
          <w:numId w:val="11"/>
        </w:numPr>
        <w:spacing w:before="0" w:after="160" w:line="259" w:lineRule="auto"/>
      </w:pPr>
      <w:r>
        <w:t>Insert a nasogastric tube into the patient stomach reservoir</w:t>
      </w:r>
      <w:r w:rsidR="008E3D1E">
        <w:t xml:space="preserve"> at a dept</w:t>
      </w:r>
      <w:r w:rsidR="001C1F12">
        <w:t>h of 55 cm</w:t>
      </w:r>
      <w:r>
        <w:t>.</w:t>
      </w:r>
    </w:p>
    <w:p w14:paraId="0A1F7638" w14:textId="77777777" w:rsidR="008D0F98" w:rsidRDefault="008D0F98" w:rsidP="008D0F98">
      <w:pPr>
        <w:pStyle w:val="ListParagraph"/>
        <w:numPr>
          <w:ilvl w:val="0"/>
          <w:numId w:val="11"/>
        </w:numPr>
        <w:spacing w:before="0" w:after="160" w:line="259" w:lineRule="auto"/>
      </w:pPr>
      <w:bookmarkStart w:id="5" w:name="_Hlk514421843"/>
      <w:r>
        <w:t>Dress the simulator in a patient gown and place it in a hospital bed in Fowler’s position.</w:t>
      </w:r>
    </w:p>
    <w:p w14:paraId="74070ADF" w14:textId="77777777" w:rsidR="008D0F98" w:rsidRDefault="008D0F98" w:rsidP="008D0F98">
      <w:pPr>
        <w:pStyle w:val="ListParagraph"/>
        <w:numPr>
          <w:ilvl w:val="0"/>
          <w:numId w:val="11"/>
        </w:numPr>
        <w:spacing w:before="0" w:after="160" w:line="259" w:lineRule="auto"/>
      </w:pPr>
      <w:r>
        <w:t>Attach patient ID bracelet with name and date of birth.</w:t>
      </w:r>
    </w:p>
    <w:bookmarkEnd w:id="5"/>
    <w:p w14:paraId="7B4AEC8F" w14:textId="576BE19A" w:rsidR="00FC2B3C" w:rsidRDefault="008D0F98" w:rsidP="008D0F98">
      <w:pPr>
        <w:pStyle w:val="ListParagraph"/>
        <w:numPr>
          <w:ilvl w:val="0"/>
          <w:numId w:val="11"/>
        </w:numPr>
      </w:pPr>
      <w:r>
        <w:t xml:space="preserve">Print the patient chart from page 4 and hand it </w:t>
      </w:r>
      <w:r w:rsidR="00973C37">
        <w:t xml:space="preserve">out </w:t>
      </w:r>
      <w:r>
        <w:t>to the learners after reading the learner brief to them. If you use an electronic patient chart, you can transfer the information to this system.</w:t>
      </w:r>
    </w:p>
    <w:p w14:paraId="538092BC" w14:textId="01303FDA" w:rsidR="00C540BA" w:rsidRPr="00CC5F65" w:rsidRDefault="00C540BA" w:rsidP="00CC5F65">
      <w:pPr>
        <w:pStyle w:val="Heading2"/>
      </w:pPr>
      <w:r w:rsidRPr="00CC5F65">
        <w:t>Learner Brief</w:t>
      </w:r>
    </w:p>
    <w:p w14:paraId="068A1BE7" w14:textId="29577F5D" w:rsidR="00C540BA" w:rsidRPr="00B625BA" w:rsidRDefault="00C540BA" w:rsidP="00B625BA">
      <w:pPr>
        <w:rPr>
          <w:i/>
        </w:rPr>
      </w:pPr>
      <w:bookmarkStart w:id="6" w:name="_Hlk514857321"/>
      <w:r w:rsidRPr="00B625BA">
        <w:rPr>
          <w:i/>
        </w:rPr>
        <w:t>The learner brief should be read out loud to the learners before the simulation starts.</w:t>
      </w:r>
      <w:bookmarkEnd w:id="6"/>
    </w:p>
    <w:p w14:paraId="77161881" w14:textId="54984569" w:rsidR="00E10B66" w:rsidRDefault="0033782C" w:rsidP="00FF7146">
      <w:pPr>
        <w:pStyle w:val="NoSpacing"/>
      </w:pPr>
      <w:bookmarkStart w:id="7" w:name="_Hlk517078962"/>
      <w:bookmarkStart w:id="8" w:name="_Hlk515353120"/>
      <w:r w:rsidRPr="00CC5F65">
        <w:rPr>
          <w:b/>
        </w:rPr>
        <w:t>Situation:</w:t>
      </w:r>
      <w:bookmarkEnd w:id="7"/>
      <w:r>
        <w:t xml:space="preserve"> </w:t>
      </w:r>
      <w:bookmarkEnd w:id="8"/>
      <w:r w:rsidR="008D0F98">
        <w:t>You are a nurse in a surgical unit and the time is now 11</w:t>
      </w:r>
      <w:r w:rsidR="00510B9A">
        <w:t>:</w:t>
      </w:r>
      <w:r w:rsidR="008D0F98">
        <w:t>00. You are caring for Mary West, a 65-year-old female</w:t>
      </w:r>
      <w:r w:rsidR="00510B9A">
        <w:t xml:space="preserve"> who is </w:t>
      </w:r>
      <w:r w:rsidR="008D0F98">
        <w:t>one day post-operative after having a small tumor in the esophagus surgically removed.</w:t>
      </w:r>
    </w:p>
    <w:p w14:paraId="7EC4A0CC" w14:textId="70ABADCD" w:rsidR="009863EF" w:rsidRDefault="009863EF" w:rsidP="00FF7146">
      <w:pPr>
        <w:pStyle w:val="NoSpacing"/>
      </w:pPr>
      <w:r w:rsidRPr="00CC5F65">
        <w:rPr>
          <w:b/>
        </w:rPr>
        <w:t>Background:</w:t>
      </w:r>
      <w:r>
        <w:t xml:space="preserve"> </w:t>
      </w:r>
      <w:r w:rsidR="008D0F98">
        <w:t>The patient had i</w:t>
      </w:r>
      <w:r w:rsidR="008D0F98" w:rsidRPr="00B514EB">
        <w:rPr>
          <w:bCs/>
        </w:rPr>
        <w:t xml:space="preserve">ncreasing </w:t>
      </w:r>
      <w:r w:rsidR="008D0F98">
        <w:rPr>
          <w:bCs/>
        </w:rPr>
        <w:t xml:space="preserve">discomfort and trouble swallowing over the past </w:t>
      </w:r>
      <w:r w:rsidR="00375E31">
        <w:rPr>
          <w:bCs/>
        </w:rPr>
        <w:t xml:space="preserve">few </w:t>
      </w:r>
      <w:r w:rsidR="008D0F98">
        <w:rPr>
          <w:bCs/>
        </w:rPr>
        <w:t xml:space="preserve">weeks due to a benign tumor in </w:t>
      </w:r>
      <w:r w:rsidR="00375E31">
        <w:rPr>
          <w:bCs/>
        </w:rPr>
        <w:t xml:space="preserve">the </w:t>
      </w:r>
      <w:r w:rsidR="008D0F98">
        <w:rPr>
          <w:bCs/>
        </w:rPr>
        <w:t>esophagus.</w:t>
      </w:r>
    </w:p>
    <w:p w14:paraId="1818600B" w14:textId="41D3C0D8" w:rsidR="009863EF" w:rsidRDefault="009863EF" w:rsidP="00FF7146">
      <w:pPr>
        <w:pStyle w:val="NoSpacing"/>
      </w:pPr>
      <w:r w:rsidRPr="00CC5F65">
        <w:rPr>
          <w:b/>
        </w:rPr>
        <w:t>Assessment:</w:t>
      </w:r>
      <w:r>
        <w:t xml:space="preserve"> </w:t>
      </w:r>
      <w:r w:rsidR="0093060E">
        <w:t xml:space="preserve">The patient was assessed 3 hours ago, and all vital signs were within normal range. Pain was rated 3 and the patient did not request pain medication. She has a nasogastric tube in place, as she is currently receiving </w:t>
      </w:r>
      <w:r w:rsidR="00375E31">
        <w:t xml:space="preserve">only </w:t>
      </w:r>
      <w:r w:rsidR="0093060E">
        <w:t xml:space="preserve">fluid nutrition </w:t>
      </w:r>
      <w:r w:rsidR="00375E31">
        <w:t xml:space="preserve">administered </w:t>
      </w:r>
      <w:r w:rsidR="0093060E">
        <w:t xml:space="preserve">by tube. </w:t>
      </w:r>
      <w:r w:rsidR="00A70307">
        <w:t>Tube depth ha</w:t>
      </w:r>
      <w:r w:rsidR="00105078">
        <w:t>s</w:t>
      </w:r>
      <w:r w:rsidR="00A70307">
        <w:t xml:space="preserve"> been steady at 55 cm. </w:t>
      </w:r>
      <w:r w:rsidR="0093060E">
        <w:t>A fluid nutrition bolus of 340 mL was administered 3 hours ago</w:t>
      </w:r>
      <w:r w:rsidR="006A4CB0">
        <w:t>,</w:t>
      </w:r>
      <w:r w:rsidR="0093060E">
        <w:t xml:space="preserve"> and 2 hours ago 250 mL water was administered.</w:t>
      </w:r>
      <w:r w:rsidR="003B0D6D">
        <w:t xml:space="preserve"> Residual volume was minimal</w:t>
      </w:r>
      <w:r w:rsidR="00C13707">
        <w:t xml:space="preserve"> both times</w:t>
      </w:r>
      <w:r w:rsidR="00514E9C">
        <w:t>.</w:t>
      </w:r>
    </w:p>
    <w:p w14:paraId="3736FC7A" w14:textId="7399FEE6" w:rsidR="00B9293E" w:rsidRDefault="009863EF" w:rsidP="00FF7146">
      <w:pPr>
        <w:pStyle w:val="NoSpacing"/>
      </w:pPr>
      <w:r w:rsidRPr="00CC5F65">
        <w:rPr>
          <w:b/>
        </w:rPr>
        <w:t>Recommendation:</w:t>
      </w:r>
      <w:r>
        <w:t xml:space="preserve"> </w:t>
      </w:r>
      <w:r w:rsidR="0093060E">
        <w:t>She is due for a fluid nutrition bolus. Please take a few minutes to review her chart</w:t>
      </w:r>
      <w:bookmarkStart w:id="9" w:name="_Hlk514415451"/>
      <w:bookmarkStart w:id="10" w:name="_Hlk513628110"/>
      <w:r w:rsidR="0093060E">
        <w:t xml:space="preserve"> (hand </w:t>
      </w:r>
      <w:r w:rsidR="008D1025">
        <w:t xml:space="preserve">out </w:t>
      </w:r>
      <w:r w:rsidR="0093060E">
        <w:t>chart to learners)</w:t>
      </w:r>
      <w:bookmarkEnd w:id="9"/>
      <w:r w:rsidR="0093060E">
        <w:t xml:space="preserve"> and then go see the patient.</w:t>
      </w:r>
      <w:bookmarkEnd w:id="10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Heading1"/>
      </w:pPr>
      <w:r>
        <w:lastRenderedPageBreak/>
        <w:t>Customization of the Scenario</w:t>
      </w:r>
    </w:p>
    <w:p w14:paraId="133E9D80" w14:textId="21FBC414" w:rsidR="004711DC" w:rsidRPr="00A77F02" w:rsidRDefault="00D4545B" w:rsidP="00076275">
      <w:r w:rsidRPr="00D4545B">
        <w:t>The scenario may form the basis for creating new scenarios with other or additional learning objectives. Making changes to an existing scenario require</w:t>
      </w:r>
      <w:r w:rsidR="00935C98">
        <w:t>s</w:t>
      </w:r>
      <w:r w:rsidRPr="00D4545B">
        <w:t xml:space="preserve"> careful consideration of what interventions you expect the learners to demonstrate, and </w:t>
      </w:r>
      <w:r w:rsidR="0081508E">
        <w:t xml:space="preserve">what </w:t>
      </w:r>
      <w:r w:rsidRPr="00D4545B">
        <w:t>changes you will need to apply to learning objectives, progression of scenario, programming and support material. It is</w:t>
      </w:r>
      <w:r w:rsidR="00935C98">
        <w:t>,</w:t>
      </w:r>
      <w:r w:rsidRPr="00D4545B">
        <w:t xml:space="preserve"> however</w:t>
      </w:r>
      <w:r w:rsidR="00935C98">
        <w:t>,</w:t>
      </w:r>
      <w:r w:rsidRPr="00D4545B">
        <w:t xml:space="preserve"> a </w:t>
      </w:r>
      <w:r w:rsidR="00935C98">
        <w:t>quick</w:t>
      </w:r>
      <w:r w:rsidR="00D83C2E">
        <w:t xml:space="preserve"> </w:t>
      </w:r>
      <w:r w:rsidRPr="00D4545B">
        <w:t xml:space="preserve">way </w:t>
      </w:r>
      <w:r w:rsidR="0081508E">
        <w:t xml:space="preserve">to increase </w:t>
      </w:r>
      <w:r w:rsidRPr="00D4545B">
        <w:t>your pool of scenarios because you can reuse much of the patient information and several elements in the scenario programming and support material.</w:t>
      </w:r>
    </w:p>
    <w:p w14:paraId="0558B6F4" w14:textId="529DEE62" w:rsidR="005326D3" w:rsidRPr="000058EB" w:rsidRDefault="004711DC" w:rsidP="00076275">
      <w:r w:rsidRPr="000058EB">
        <w:t xml:space="preserve">For inspiration, here are some suggestions </w:t>
      </w:r>
      <w:r w:rsidR="0081508E">
        <w:t xml:space="preserve">on </w:t>
      </w:r>
      <w:r w:rsidRPr="000058EB">
        <w:t xml:space="preserve">how this scenario can be </w:t>
      </w:r>
      <w:r w:rsidR="006465B5">
        <w:t>customized</w:t>
      </w:r>
      <w:r w:rsidRPr="000058EB">
        <w:t>: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977"/>
        <w:gridCol w:w="6651"/>
      </w:tblGrid>
      <w:tr w:rsidR="00450778" w14:paraId="0148FD45" w14:textId="77777777" w:rsidTr="0079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7B09F23" w14:textId="5083B043" w:rsidR="00B51843" w:rsidRPr="004C571B" w:rsidRDefault="0079106C" w:rsidP="000058EB">
            <w:pPr>
              <w:pStyle w:val="NoSpacing"/>
              <w:rPr>
                <w:b w:val="0"/>
              </w:rPr>
            </w:pPr>
            <w:r w:rsidRPr="00B13C38">
              <w:t>New</w:t>
            </w:r>
            <w:r w:rsidR="00137015" w:rsidRPr="00B13C38">
              <w:t xml:space="preserve"> </w:t>
            </w:r>
            <w:r w:rsidR="00DA4634">
              <w:t>L</w:t>
            </w:r>
            <w:r w:rsidR="00137015" w:rsidRPr="004C571B">
              <w:t xml:space="preserve">earning </w:t>
            </w:r>
            <w:r w:rsidR="00DA4634">
              <w:t>O</w:t>
            </w:r>
            <w:r w:rsidR="00137015" w:rsidRPr="004C571B">
              <w:t>bjectives</w:t>
            </w:r>
          </w:p>
        </w:tc>
        <w:tc>
          <w:tcPr>
            <w:tcW w:w="6651" w:type="dxa"/>
          </w:tcPr>
          <w:p w14:paraId="2DD5E1ED" w14:textId="192733A9" w:rsidR="00B51843" w:rsidRPr="001F6553" w:rsidRDefault="0079106C" w:rsidP="000058E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53">
              <w:t xml:space="preserve">Changes to the </w:t>
            </w:r>
            <w:r w:rsidR="00DA4634">
              <w:t>S</w:t>
            </w:r>
            <w:r w:rsidRPr="001F6553">
              <w:t>cenario</w:t>
            </w:r>
          </w:p>
        </w:tc>
      </w:tr>
      <w:tr w:rsidR="00391A42" w14:paraId="536A3D75" w14:textId="77777777" w:rsidTr="0079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28EE12" w14:textId="6F5942B7" w:rsidR="00391A42" w:rsidRPr="00391A42" w:rsidRDefault="00391A42" w:rsidP="00391A42">
            <w:pPr>
              <w:pStyle w:val="NoSpacing"/>
              <w:rPr>
                <w:b w:val="0"/>
              </w:rPr>
            </w:pPr>
            <w:r w:rsidRPr="00391A42">
              <w:rPr>
                <w:b w:val="0"/>
              </w:rPr>
              <w:t>Include learning objectives about using therapeutic communication and clinical reasoning skills.</w:t>
            </w:r>
          </w:p>
        </w:tc>
        <w:tc>
          <w:tcPr>
            <w:tcW w:w="6651" w:type="dxa"/>
          </w:tcPr>
          <w:p w14:paraId="0C6C796B" w14:textId="0FCF0B82" w:rsidR="00391A42" w:rsidRDefault="00391A42" w:rsidP="00391A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the patient express discomfort with the procedure</w:t>
            </w:r>
            <w:r w:rsidR="00773D07">
              <w:t xml:space="preserve">; </w:t>
            </w:r>
            <w:r>
              <w:t>for example</w:t>
            </w:r>
            <w:r w:rsidR="00773D07">
              <w:t>,</w:t>
            </w:r>
            <w:r>
              <w:t xml:space="preserve"> </w:t>
            </w:r>
            <w:r w:rsidRPr="009022EE">
              <w:t>stomach cramp</w:t>
            </w:r>
            <w:r w:rsidR="00773D07">
              <w:t>s</w:t>
            </w:r>
            <w:r w:rsidRPr="009022EE">
              <w:t xml:space="preserve"> or nausea</w:t>
            </w:r>
            <w:r>
              <w:t>.</w:t>
            </w:r>
          </w:p>
          <w:p w14:paraId="0542169D" w14:textId="45E9F174" w:rsidR="00391A42" w:rsidRDefault="00391A42" w:rsidP="00391A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patient should complain about the discomfort</w:t>
            </w:r>
            <w:r w:rsidR="00773D07">
              <w:t xml:space="preserve"> </w:t>
            </w:r>
            <w:r>
              <w:t xml:space="preserve">she </w:t>
            </w:r>
            <w:r w:rsidR="00223A31">
              <w:t xml:space="preserve">is </w:t>
            </w:r>
            <w:r>
              <w:t>experienc</w:t>
            </w:r>
            <w:r w:rsidR="00223A31">
              <w:t xml:space="preserve">ing </w:t>
            </w:r>
            <w:r>
              <w:t xml:space="preserve">until the learners have taken appropriate actions to alleviate the discomfort, including using therapeutic communication skills. </w:t>
            </w:r>
          </w:p>
        </w:tc>
      </w:tr>
      <w:tr w:rsidR="00391A42" w14:paraId="050C5B8C" w14:textId="77777777" w:rsidTr="0079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C482BA" w14:textId="45B6CC2F" w:rsidR="00391A42" w:rsidRPr="00391A42" w:rsidRDefault="00391A42" w:rsidP="00391A42">
            <w:pPr>
              <w:pStyle w:val="NoSpacing"/>
              <w:rPr>
                <w:b w:val="0"/>
              </w:rPr>
            </w:pPr>
            <w:r w:rsidRPr="00391A42">
              <w:rPr>
                <w:b w:val="0"/>
              </w:rPr>
              <w:t>Include learning objectives about recognizing dehydration and taking appropriate actions.</w:t>
            </w:r>
          </w:p>
        </w:tc>
        <w:tc>
          <w:tcPr>
            <w:tcW w:w="6651" w:type="dxa"/>
          </w:tcPr>
          <w:p w14:paraId="47D4802A" w14:textId="5A255AA8" w:rsidR="00391A42" w:rsidRDefault="00391A42" w:rsidP="00391A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the patient show signs of dehydration</w:t>
            </w:r>
            <w:r w:rsidR="00223A31">
              <w:t>;</w:t>
            </w:r>
            <w:r>
              <w:t xml:space="preserve"> for example</w:t>
            </w:r>
            <w:r w:rsidR="00223A31">
              <w:t>,</w:t>
            </w:r>
            <w:r>
              <w:t xml:space="preserve"> slightly lowered blood pressure</w:t>
            </w:r>
            <w:r w:rsidR="00C306FA">
              <w:t xml:space="preserve"> and</w:t>
            </w:r>
            <w:r w:rsidR="00D83C2E">
              <w:t xml:space="preserve"> </w:t>
            </w:r>
            <w:r>
              <w:t>amber</w:t>
            </w:r>
            <w:r w:rsidR="00223A31">
              <w:t>-</w:t>
            </w:r>
            <w:r>
              <w:t xml:space="preserve">colored urine, and have the patient </w:t>
            </w:r>
            <w:r w:rsidR="00223A31">
              <w:t xml:space="preserve">complain of </w:t>
            </w:r>
            <w:r>
              <w:t>thirst, fatigue, and dizziness. The intake and output sheet should also be adjusted to indicate dehydration.</w:t>
            </w:r>
          </w:p>
          <w:p w14:paraId="66D7EF83" w14:textId="3E45B788" w:rsidR="00391A42" w:rsidRDefault="00391A42" w:rsidP="00391A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patient should complain about these symptoms until the learners take appropriate actions to hydrate the patient.</w:t>
            </w:r>
          </w:p>
        </w:tc>
      </w:tr>
      <w:tr w:rsidR="00391A42" w14:paraId="225BD5E9" w14:textId="77777777" w:rsidTr="0079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FA1D228" w14:textId="47B7639B" w:rsidR="00391A42" w:rsidRPr="00391A42" w:rsidRDefault="00391A42" w:rsidP="00391A42">
            <w:pPr>
              <w:pStyle w:val="NoSpacing"/>
              <w:rPr>
                <w:b w:val="0"/>
              </w:rPr>
            </w:pPr>
            <w:r w:rsidRPr="00391A42">
              <w:rPr>
                <w:b w:val="0"/>
              </w:rPr>
              <w:t>Include learning objectives about using clinical reasoning skills, including taking appropriate safety measures.</w:t>
            </w:r>
          </w:p>
        </w:tc>
        <w:tc>
          <w:tcPr>
            <w:tcW w:w="6651" w:type="dxa"/>
          </w:tcPr>
          <w:p w14:paraId="62CC1BE1" w14:textId="18C1E779" w:rsidR="00391A42" w:rsidRDefault="00D83C2E" w:rsidP="00391A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Fill </w:t>
            </w:r>
            <w:r w:rsidR="00391A42">
              <w:t>the stomach reservoir with a larger residual volume from</w:t>
            </w:r>
            <w:r w:rsidR="00C306FA">
              <w:t xml:space="preserve"> the</w:t>
            </w:r>
            <w:r w:rsidR="00391A42">
              <w:t xml:space="preserve"> previous feeding (note: the stomach can hold up to 500 mL).</w:t>
            </w:r>
          </w:p>
          <w:p w14:paraId="4E07F556" w14:textId="109FC206" w:rsidR="00391A42" w:rsidRDefault="00391A42" w:rsidP="00391A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patient should not feel hungry and could be complaining about acid reflux. If the learners do not recognize the larger residual volume or do not take necessary safety precautions</w:t>
            </w:r>
            <w:r w:rsidR="00C306FA">
              <w:t>,</w:t>
            </w:r>
            <w:r>
              <w:t xml:space="preserve"> the patient could </w:t>
            </w:r>
            <w:r w:rsidR="00C306FA">
              <w:t xml:space="preserve">make </w:t>
            </w:r>
            <w:r>
              <w:t>more remarks about feeling stuffed.</w:t>
            </w:r>
          </w:p>
        </w:tc>
      </w:tr>
      <w:tr w:rsidR="00391A42" w14:paraId="6162285A" w14:textId="77777777" w:rsidTr="0079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D8932CE" w14:textId="4EB21DAF" w:rsidR="00391A42" w:rsidRPr="00391A42" w:rsidRDefault="00391A42" w:rsidP="00391A42">
            <w:pPr>
              <w:pStyle w:val="NoSpacing"/>
              <w:rPr>
                <w:b w:val="0"/>
              </w:rPr>
            </w:pPr>
            <w:r w:rsidRPr="00391A42">
              <w:rPr>
                <w:b w:val="0"/>
              </w:rPr>
              <w:t>Include learning objectives about using clinical reasoning skills, including taking appropriate safety measures.</w:t>
            </w:r>
          </w:p>
        </w:tc>
        <w:tc>
          <w:tcPr>
            <w:tcW w:w="6651" w:type="dxa"/>
          </w:tcPr>
          <w:p w14:paraId="22299A8B" w14:textId="06F9745F" w:rsidR="00391A42" w:rsidRDefault="00D83C2E" w:rsidP="00391A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</w:t>
            </w:r>
            <w:r>
              <w:t xml:space="preserve"> </w:t>
            </w:r>
            <w:r w:rsidR="00391A42">
              <w:t xml:space="preserve">the stomach content </w:t>
            </w:r>
            <w:r>
              <w:t xml:space="preserve">to </w:t>
            </w:r>
            <w:r w:rsidR="00391A42">
              <w:t>look like coffee grounds, to indicate bleeding in the stomach.</w:t>
            </w:r>
          </w:p>
          <w:p w14:paraId="536EEC0A" w14:textId="5A6605FF" w:rsidR="00391A42" w:rsidRDefault="00391A42" w:rsidP="0039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patient may or may not show any symptoms. If the learners do not </w:t>
            </w:r>
            <w:r w:rsidR="00ED30CC">
              <w:t xml:space="preserve">recognize the bleeding and </w:t>
            </w:r>
            <w:r>
              <w:t xml:space="preserve">take appropriate safety measures, the patient could ask if everything looks </w:t>
            </w:r>
            <w:r w:rsidR="006E599F">
              <w:t>OK</w:t>
            </w:r>
            <w:r>
              <w:t xml:space="preserve"> and </w:t>
            </w:r>
            <w:r w:rsidR="006E599F">
              <w:t xml:space="preserve">complain about </w:t>
            </w:r>
            <w:r>
              <w:t>weakness or dizziness.</w:t>
            </w:r>
          </w:p>
        </w:tc>
      </w:tr>
      <w:tr w:rsidR="00391A42" w14:paraId="22D68E86" w14:textId="77777777" w:rsidTr="0079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B8220F" w14:textId="1A76FCF1" w:rsidR="00391A42" w:rsidRPr="00391A42" w:rsidRDefault="00391A42" w:rsidP="00391A42">
            <w:pPr>
              <w:pStyle w:val="NoSpacing"/>
              <w:rPr>
                <w:b w:val="0"/>
              </w:rPr>
            </w:pPr>
            <w:r w:rsidRPr="00391A42">
              <w:rPr>
                <w:b w:val="0"/>
              </w:rPr>
              <w:t>Include learning objectives about using communica</w:t>
            </w:r>
            <w:r w:rsidR="00773D07">
              <w:rPr>
                <w:b w:val="0"/>
              </w:rPr>
              <w:t xml:space="preserve">tion </w:t>
            </w:r>
            <w:r w:rsidRPr="00391A42">
              <w:rPr>
                <w:b w:val="0"/>
              </w:rPr>
              <w:t xml:space="preserve">skills and clinical knowledge. </w:t>
            </w:r>
          </w:p>
        </w:tc>
        <w:tc>
          <w:tcPr>
            <w:tcW w:w="6651" w:type="dxa"/>
          </w:tcPr>
          <w:p w14:paraId="141A449B" w14:textId="77777777" w:rsidR="00391A42" w:rsidRDefault="00391A42" w:rsidP="00391A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the patient be unfamiliar with the procedure, to prompt the learners to provide patient education and answer questions.</w:t>
            </w:r>
          </w:p>
          <w:p w14:paraId="61FF8678" w14:textId="4EC69F03" w:rsidR="00391A42" w:rsidRDefault="00391A42" w:rsidP="0039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patient should ask relevant questions in accordance with the information that the learners provide.</w:t>
            </w:r>
          </w:p>
        </w:tc>
      </w:tr>
    </w:tbl>
    <w:p w14:paraId="110EFBA3" w14:textId="05ADA32A" w:rsidR="000529F2" w:rsidRPr="008140AD" w:rsidRDefault="000529F2" w:rsidP="008140AD">
      <w:pPr>
        <w:tabs>
          <w:tab w:val="left" w:pos="4305"/>
        </w:tabs>
        <w:sectPr w:rsidR="000529F2" w:rsidRPr="008140AD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Heading1"/>
      </w:pPr>
      <w:r w:rsidRPr="008600B9">
        <w:lastRenderedPageBreak/>
        <w:t>Patient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8407"/>
      </w:tblGrid>
      <w:tr w:rsidR="000D6374" w:rsidRPr="008600B9" w14:paraId="3A4AA47B" w14:textId="77777777" w:rsidTr="00F130FE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02AD3FCB" w:rsidR="000D6374" w:rsidRPr="00FB4C63" w:rsidRDefault="000D6374" w:rsidP="000D6374">
            <w:pPr>
              <w:pStyle w:val="NoSpacing"/>
            </w:pPr>
            <w:r w:rsidRPr="00B514EB">
              <w:rPr>
                <w:b/>
                <w:bCs/>
              </w:rPr>
              <w:t xml:space="preserve">Patient name: </w:t>
            </w:r>
            <w:r w:rsidRPr="004439B5">
              <w:rPr>
                <w:bCs/>
              </w:rPr>
              <w:t>Mary West</w:t>
            </w:r>
            <w:r w:rsidRPr="00B514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B514EB">
              <w:rPr>
                <w:b/>
                <w:bCs/>
              </w:rPr>
              <w:t xml:space="preserve">Gender: </w:t>
            </w:r>
            <w:r w:rsidRPr="00B514EB">
              <w:t xml:space="preserve">Female  </w:t>
            </w:r>
            <w:r>
              <w:t xml:space="preserve">  </w:t>
            </w:r>
            <w:r w:rsidRPr="00B514EB">
              <w:rPr>
                <w:b/>
                <w:bCs/>
              </w:rPr>
              <w:t xml:space="preserve">Allergies: </w:t>
            </w:r>
            <w:r w:rsidRPr="00B514EB">
              <w:t xml:space="preserve">No known allergies  </w:t>
            </w:r>
            <w:r>
              <w:t xml:space="preserve">  </w:t>
            </w:r>
            <w:r w:rsidRPr="00B514EB">
              <w:rPr>
                <w:b/>
                <w:bCs/>
              </w:rPr>
              <w:t xml:space="preserve">DOB: </w:t>
            </w:r>
            <w:r w:rsidRPr="003538D3">
              <w:rPr>
                <w:bCs/>
              </w:rPr>
              <w:t>1</w:t>
            </w:r>
            <w:r w:rsidRPr="004439B5">
              <w:rPr>
                <w:bCs/>
              </w:rPr>
              <w:t>8</w:t>
            </w:r>
            <w:r w:rsidRPr="00B514EB">
              <w:rPr>
                <w:bCs/>
              </w:rPr>
              <w:t>/</w:t>
            </w:r>
            <w:r>
              <w:rPr>
                <w:bCs/>
              </w:rPr>
              <w:t>10</w:t>
            </w:r>
            <w:r w:rsidRPr="00B514EB">
              <w:rPr>
                <w:bCs/>
              </w:rPr>
              <w:t>-XXXX</w:t>
            </w:r>
            <w:r w:rsidRPr="00B514EB">
              <w:t xml:space="preserve">  </w:t>
            </w:r>
          </w:p>
        </w:tc>
      </w:tr>
      <w:tr w:rsidR="000D6374" w:rsidRPr="008600B9" w14:paraId="521CBD8C" w14:textId="77777777" w:rsidTr="0044599D">
        <w:trPr>
          <w:trHeight w:val="278"/>
        </w:trPr>
        <w:tc>
          <w:tcPr>
            <w:tcW w:w="5000" w:type="pct"/>
            <w:gridSpan w:val="2"/>
          </w:tcPr>
          <w:p w14:paraId="5C94C37F" w14:textId="618FE5A4" w:rsidR="000D6374" w:rsidRPr="00FB4C63" w:rsidRDefault="000D6374" w:rsidP="000D6374">
            <w:pPr>
              <w:pStyle w:val="NoSpacing"/>
            </w:pPr>
            <w:r w:rsidRPr="00B514EB">
              <w:rPr>
                <w:b/>
                <w:bCs/>
              </w:rPr>
              <w:t xml:space="preserve">Age: </w:t>
            </w:r>
            <w:r>
              <w:rPr>
                <w:bCs/>
              </w:rPr>
              <w:t>6</w:t>
            </w:r>
            <w:r w:rsidRPr="00BA4C77">
              <w:rPr>
                <w:bCs/>
              </w:rPr>
              <w:t>5</w:t>
            </w:r>
            <w:r w:rsidRPr="00B514EB">
              <w:t xml:space="preserve"> years  </w:t>
            </w:r>
            <w:r>
              <w:t xml:space="preserve">     </w:t>
            </w:r>
            <w:r w:rsidRPr="00B514EB">
              <w:rPr>
                <w:b/>
                <w:bCs/>
              </w:rPr>
              <w:t xml:space="preserve">Height: </w:t>
            </w:r>
            <w:r w:rsidRPr="00B514EB">
              <w:t>1</w:t>
            </w:r>
            <w:r>
              <w:t>70</w:t>
            </w:r>
            <w:r w:rsidRPr="00B514EB">
              <w:t xml:space="preserve"> cm (6</w:t>
            </w:r>
            <w:r>
              <w:t>7</w:t>
            </w:r>
            <w:r w:rsidRPr="00B514EB">
              <w:t xml:space="preserve"> in.) </w:t>
            </w:r>
            <w:r>
              <w:t xml:space="preserve">     </w:t>
            </w:r>
            <w:r w:rsidRPr="00B514EB">
              <w:t xml:space="preserve"> </w:t>
            </w:r>
            <w:r>
              <w:t xml:space="preserve">   </w:t>
            </w:r>
            <w:r w:rsidRPr="00B514EB">
              <w:rPr>
                <w:b/>
                <w:bCs/>
              </w:rPr>
              <w:t xml:space="preserve">Weight: </w:t>
            </w:r>
            <w:r w:rsidRPr="00B514EB">
              <w:t>6</w:t>
            </w:r>
            <w:r>
              <w:t>1</w:t>
            </w:r>
            <w:r w:rsidRPr="00B514EB">
              <w:t xml:space="preserve"> kg (13</w:t>
            </w:r>
            <w:r>
              <w:t>4</w:t>
            </w:r>
            <w:r w:rsidRPr="00B514EB">
              <w:t xml:space="preserve"> lb.)</w:t>
            </w:r>
            <w:r>
              <w:t xml:space="preserve">     </w:t>
            </w:r>
            <w:r w:rsidRPr="00B514EB">
              <w:t xml:space="preserve">  </w:t>
            </w:r>
            <w:r w:rsidRPr="00B514EB">
              <w:rPr>
                <w:b/>
                <w:bCs/>
              </w:rPr>
              <w:t xml:space="preserve">MRN: </w:t>
            </w:r>
            <w:r>
              <w:t>00156330</w:t>
            </w:r>
            <w:r w:rsidRPr="00B514EB">
              <w:t xml:space="preserve">  </w:t>
            </w:r>
          </w:p>
        </w:tc>
      </w:tr>
      <w:tr w:rsidR="000D6374" w:rsidRPr="008600B9" w14:paraId="2E3F967F" w14:textId="77777777" w:rsidTr="0044599D">
        <w:tc>
          <w:tcPr>
            <w:tcW w:w="5000" w:type="pct"/>
            <w:gridSpan w:val="2"/>
          </w:tcPr>
          <w:p w14:paraId="33A0789B" w14:textId="38734F16" w:rsidR="000D6374" w:rsidRPr="00FB4C63" w:rsidRDefault="000D6374" w:rsidP="000D6374">
            <w:pPr>
              <w:pStyle w:val="NoSpacing"/>
            </w:pPr>
            <w:r w:rsidRPr="00B514EB">
              <w:rPr>
                <w:b/>
                <w:bCs/>
              </w:rPr>
              <w:t>Diagnosis:</w:t>
            </w:r>
            <w:r>
              <w:rPr>
                <w:b/>
                <w:bCs/>
              </w:rPr>
              <w:t xml:space="preserve"> </w:t>
            </w:r>
            <w:r w:rsidRPr="00F53EA5">
              <w:rPr>
                <w:bCs/>
              </w:rPr>
              <w:t>B</w:t>
            </w:r>
            <w:r w:rsidRPr="00F53EA5">
              <w:t>enign</w:t>
            </w:r>
            <w:r>
              <w:t xml:space="preserve"> tumor in esophagus       </w:t>
            </w:r>
            <w:r w:rsidRPr="00B514EB">
              <w:rPr>
                <w:b/>
                <w:bCs/>
              </w:rPr>
              <w:t xml:space="preserve">Adm </w:t>
            </w:r>
            <w:r>
              <w:rPr>
                <w:b/>
                <w:bCs/>
              </w:rPr>
              <w:t>d</w:t>
            </w:r>
            <w:r w:rsidRPr="00B514EB">
              <w:rPr>
                <w:b/>
                <w:bCs/>
              </w:rPr>
              <w:t xml:space="preserve">ate: </w:t>
            </w:r>
            <w:r w:rsidRPr="00F53EA5">
              <w:rPr>
                <w:bCs/>
              </w:rPr>
              <w:t>Yesterday</w:t>
            </w:r>
          </w:p>
        </w:tc>
      </w:tr>
      <w:tr w:rsidR="000D6374" w:rsidRPr="008600B9" w14:paraId="58C73A4F" w14:textId="77777777" w:rsidTr="00FB4C63">
        <w:trPr>
          <w:trHeight w:val="311"/>
        </w:trPr>
        <w:tc>
          <w:tcPr>
            <w:tcW w:w="5000" w:type="pct"/>
            <w:gridSpan w:val="2"/>
          </w:tcPr>
          <w:p w14:paraId="587D44DA" w14:textId="3E3EA2DE" w:rsidR="000D6374" w:rsidRPr="00FB4C63" w:rsidRDefault="000D6374" w:rsidP="000D6374">
            <w:pPr>
              <w:pStyle w:val="NoSpacing"/>
            </w:pPr>
            <w:r>
              <w:rPr>
                <w:b/>
                <w:bCs/>
              </w:rPr>
              <w:t xml:space="preserve">Facility: </w:t>
            </w:r>
            <w:r w:rsidRPr="00D01F8E">
              <w:rPr>
                <w:bCs/>
              </w:rPr>
              <w:t>Surgical unit</w:t>
            </w:r>
            <w:r>
              <w:rPr>
                <w:b/>
                <w:bCs/>
              </w:rPr>
              <w:t xml:space="preserve">         Advance directive: </w:t>
            </w:r>
            <w:r w:rsidRPr="00D01F8E">
              <w:rPr>
                <w:bCs/>
              </w:rPr>
              <w:t>No</w:t>
            </w:r>
            <w:r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Isolation precautions: </w:t>
            </w:r>
            <w:r w:rsidRPr="00D01F8E">
              <w:rPr>
                <w:bCs/>
              </w:rPr>
              <w:t>No</w:t>
            </w:r>
            <w:r>
              <w:rPr>
                <w:bCs/>
              </w:rPr>
              <w:t>ne</w:t>
            </w:r>
          </w:p>
        </w:tc>
      </w:tr>
      <w:tr w:rsidR="000D6374" w:rsidRPr="00C06F50" w14:paraId="2CC00215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6E14BDBE" w14:textId="77777777" w:rsidR="000D6374" w:rsidRPr="002E6E7C" w:rsidRDefault="000D6374" w:rsidP="000D6374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8600B9" w14:paraId="1BADCC94" w14:textId="77777777" w:rsidTr="0044599D">
        <w:tc>
          <w:tcPr>
            <w:tcW w:w="500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8600B9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FB4C63" w:rsidRDefault="000D6374" w:rsidP="000D6374">
                  <w:pPr>
                    <w:pStyle w:val="NoSpacing"/>
                    <w:rPr>
                      <w:b/>
                    </w:rPr>
                  </w:pPr>
                  <w:r w:rsidRPr="00FB4C63">
                    <w:rPr>
                      <w:b/>
                    </w:rPr>
                    <w:t>Past Medical History</w:t>
                  </w:r>
                </w:p>
                <w:p w14:paraId="704161CD" w14:textId="6C32DD64" w:rsidR="000D6374" w:rsidRDefault="000D6374" w:rsidP="000D6374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I</w:t>
                  </w:r>
                  <w:r w:rsidRPr="00B514EB">
                    <w:rPr>
                      <w:bCs/>
                    </w:rPr>
                    <w:t xml:space="preserve">ncreasing </w:t>
                  </w:r>
                  <w:r>
                    <w:rPr>
                      <w:bCs/>
                    </w:rPr>
                    <w:t xml:space="preserve">discomfort and trouble swallowing over the past </w:t>
                  </w:r>
                  <w:r w:rsidR="00AF56A4">
                    <w:rPr>
                      <w:bCs/>
                    </w:rPr>
                    <w:t xml:space="preserve">few </w:t>
                  </w:r>
                  <w:r>
                    <w:rPr>
                      <w:bCs/>
                    </w:rPr>
                    <w:t xml:space="preserve">weeks due to a benign tumor in </w:t>
                  </w:r>
                  <w:r w:rsidR="00AF56A4">
                    <w:rPr>
                      <w:bCs/>
                    </w:rPr>
                    <w:t xml:space="preserve">the </w:t>
                  </w:r>
                  <w:r>
                    <w:rPr>
                      <w:bCs/>
                    </w:rPr>
                    <w:t>esophagus. O</w:t>
                  </w:r>
                  <w:r>
                    <w:t>ne day post-operative after having a small tumor in the esophagus surgically removed.</w:t>
                  </w:r>
                </w:p>
                <w:p w14:paraId="31408B10" w14:textId="256304C2" w:rsidR="000D6374" w:rsidRPr="008600B9" w:rsidRDefault="000D6374" w:rsidP="000D6374">
                  <w:pPr>
                    <w:pStyle w:val="NoSpacing"/>
                  </w:pPr>
                  <w:r>
                    <w:rPr>
                      <w:bCs/>
                    </w:rPr>
                    <w:t>Appendectomy 15 years ago</w:t>
                  </w:r>
                  <w:r w:rsidR="00AF56A4">
                    <w:rPr>
                      <w:bCs/>
                    </w:rPr>
                    <w:t>.</w:t>
                  </w:r>
                </w:p>
              </w:tc>
            </w:tr>
          </w:tbl>
          <w:p w14:paraId="36454D28" w14:textId="77777777" w:rsidR="000D6374" w:rsidRPr="008600B9" w:rsidRDefault="000D6374" w:rsidP="000D6374">
            <w:pPr>
              <w:pStyle w:val="NoSpacing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C06F50" w14:paraId="64279A76" w14:textId="77777777" w:rsidTr="00DD32E1">
        <w:trPr>
          <w:trHeight w:val="53"/>
        </w:trPr>
        <w:tc>
          <w:tcPr>
            <w:tcW w:w="5000" w:type="pct"/>
            <w:gridSpan w:val="2"/>
            <w:shd w:val="clear" w:color="auto" w:fill="4472C4" w:themeFill="accent1"/>
          </w:tcPr>
          <w:p w14:paraId="758E0375" w14:textId="77777777" w:rsidR="000D6374" w:rsidRPr="002E6E7C" w:rsidRDefault="000D6374" w:rsidP="000D6374">
            <w:pPr>
              <w:pStyle w:val="NoSpacing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8600B9" w14:paraId="43A67E83" w14:textId="77777777" w:rsidTr="0044599D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Notes</w:t>
            </w:r>
          </w:p>
        </w:tc>
      </w:tr>
      <w:tr w:rsidR="000D6374" w:rsidRPr="008600B9" w14:paraId="6C04477D" w14:textId="77777777" w:rsidTr="0044599D">
        <w:trPr>
          <w:trHeight w:val="228"/>
        </w:trPr>
        <w:tc>
          <w:tcPr>
            <w:tcW w:w="734" w:type="pct"/>
          </w:tcPr>
          <w:p w14:paraId="65503DD5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5260F0D7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0D6374" w:rsidRPr="008600B9" w14:paraId="6C4CC467" w14:textId="77777777" w:rsidTr="0044599D">
        <w:tc>
          <w:tcPr>
            <w:tcW w:w="734" w:type="pct"/>
          </w:tcPr>
          <w:p w14:paraId="7B376903" w14:textId="5413F153" w:rsidR="000D6374" w:rsidRPr="008600B9" w:rsidRDefault="000D6374" w:rsidP="000D6374">
            <w:pPr>
              <w:pStyle w:val="NoSpacing"/>
              <w:spacing w:line="276" w:lineRule="auto"/>
            </w:pPr>
            <w:r>
              <w:t xml:space="preserve">Yesterday </w:t>
            </w:r>
          </w:p>
        </w:tc>
        <w:tc>
          <w:tcPr>
            <w:tcW w:w="4266" w:type="pct"/>
          </w:tcPr>
          <w:p w14:paraId="2DDBD3AA" w14:textId="77777777" w:rsidR="00EE27C5" w:rsidRDefault="000D6374" w:rsidP="000D6374">
            <w:pPr>
              <w:pStyle w:val="NoSpacing"/>
              <w:spacing w:line="276" w:lineRule="auto"/>
            </w:pPr>
            <w:r>
              <w:t>P</w:t>
            </w:r>
            <w:r w:rsidRPr="005E6178">
              <w:t xml:space="preserve">atient </w:t>
            </w:r>
            <w:r>
              <w:t>transferred to unit from PACU. Nasogastric feeding tube in place.</w:t>
            </w:r>
            <w:r w:rsidR="001D4932">
              <w:t xml:space="preserve"> </w:t>
            </w:r>
          </w:p>
          <w:p w14:paraId="17C499CB" w14:textId="6497C7E0" w:rsidR="000D6374" w:rsidRPr="008600B9" w:rsidRDefault="001D4932" w:rsidP="000D6374">
            <w:pPr>
              <w:pStyle w:val="NoSpacing"/>
              <w:spacing w:line="276" w:lineRule="auto"/>
              <w:rPr>
                <w:b/>
              </w:rPr>
            </w:pPr>
            <w:r>
              <w:t>Tube depth</w:t>
            </w:r>
            <w:r w:rsidR="00EE27C5">
              <w:t>:</w:t>
            </w:r>
            <w:r>
              <w:t xml:space="preserve"> 55 cm.</w:t>
            </w:r>
            <w:r w:rsidR="000D6374">
              <w:t xml:space="preserve"> Vital signs obtained /RN</w:t>
            </w:r>
          </w:p>
        </w:tc>
      </w:tr>
      <w:tr w:rsidR="000D6374" w:rsidRPr="008600B9" w14:paraId="5FDDB440" w14:textId="77777777" w:rsidTr="0044599D">
        <w:tc>
          <w:tcPr>
            <w:tcW w:w="734" w:type="pct"/>
          </w:tcPr>
          <w:p w14:paraId="5817A471" w14:textId="39BF6284" w:rsidR="000D6374" w:rsidRPr="000A173A" w:rsidRDefault="000D6374" w:rsidP="000D6374">
            <w:pPr>
              <w:pStyle w:val="NoSpacing"/>
              <w:spacing w:line="276" w:lineRule="auto"/>
            </w:pPr>
            <w:r>
              <w:t>Today, 08</w:t>
            </w:r>
            <w:r w:rsidR="00AF56A4">
              <w:t>:</w:t>
            </w:r>
            <w:r>
              <w:t xml:space="preserve">00 </w:t>
            </w:r>
          </w:p>
        </w:tc>
        <w:tc>
          <w:tcPr>
            <w:tcW w:w="4266" w:type="pct"/>
          </w:tcPr>
          <w:p w14:paraId="1E0C7B2A" w14:textId="1F6C5CB7" w:rsidR="000D6374" w:rsidRPr="000A173A" w:rsidRDefault="000D6374" w:rsidP="000D6374">
            <w:pPr>
              <w:pStyle w:val="NoSpacing"/>
            </w:pPr>
            <w:r>
              <w:t xml:space="preserve">Patient rates pain 3, patient does not request pain medication. </w:t>
            </w:r>
            <w:r w:rsidR="001A0528">
              <w:t xml:space="preserve">Residual volume of 40 mL returned. </w:t>
            </w:r>
            <w:r>
              <w:t>Fluid nutrition bolus</w:t>
            </w:r>
            <w:r w:rsidR="001A0528">
              <w:t xml:space="preserve"> </w:t>
            </w:r>
            <w:r w:rsidR="001D3FF2">
              <w:t>(</w:t>
            </w:r>
            <w:r w:rsidR="001A0528">
              <w:t>340 mL</w:t>
            </w:r>
            <w:r w:rsidR="001D3FF2">
              <w:t>)</w:t>
            </w:r>
            <w:r>
              <w:t xml:space="preserve"> administered via tube. </w:t>
            </w:r>
            <w:r w:rsidR="001D4932">
              <w:t>Tube depth</w:t>
            </w:r>
            <w:r w:rsidR="008E4008">
              <w:t>:</w:t>
            </w:r>
            <w:r w:rsidR="001D4932">
              <w:t xml:space="preserve"> 55 cm. </w:t>
            </w:r>
            <w:r>
              <w:t xml:space="preserve">Hydration status OK /RN </w:t>
            </w:r>
          </w:p>
        </w:tc>
      </w:tr>
      <w:tr w:rsidR="000D6374" w:rsidRPr="008600B9" w14:paraId="061FC1EB" w14:textId="77777777" w:rsidTr="0044599D">
        <w:tc>
          <w:tcPr>
            <w:tcW w:w="734" w:type="pct"/>
          </w:tcPr>
          <w:p w14:paraId="5758EBB7" w14:textId="26325C28" w:rsidR="000D6374" w:rsidRPr="000A173A" w:rsidRDefault="000D6374" w:rsidP="000D6374">
            <w:pPr>
              <w:pStyle w:val="NoSpacing"/>
              <w:spacing w:line="276" w:lineRule="auto"/>
            </w:pPr>
            <w:r>
              <w:t>Today, 09</w:t>
            </w:r>
            <w:r w:rsidR="00AF56A4">
              <w:t>:</w:t>
            </w:r>
            <w:r>
              <w:t>00</w:t>
            </w:r>
          </w:p>
        </w:tc>
        <w:tc>
          <w:tcPr>
            <w:tcW w:w="4266" w:type="pct"/>
          </w:tcPr>
          <w:p w14:paraId="0957BDF9" w14:textId="51EB3867" w:rsidR="000D6374" w:rsidRPr="000A173A" w:rsidRDefault="000D6374" w:rsidP="000D6374">
            <w:pPr>
              <w:pStyle w:val="NoSpacing"/>
            </w:pPr>
            <w:r>
              <w:t>Fluid bolus</w:t>
            </w:r>
            <w:r w:rsidR="001D3FF2">
              <w:t xml:space="preserve"> (250 mL) </w:t>
            </w:r>
            <w:r>
              <w:t xml:space="preserve">administered via tube. </w:t>
            </w:r>
            <w:r w:rsidR="00D54E6F">
              <w:t xml:space="preserve">Residual volume of 110 mL returned. </w:t>
            </w:r>
            <w:r w:rsidR="001D4932">
              <w:t>Tube depth</w:t>
            </w:r>
            <w:r w:rsidR="008E4008">
              <w:t>:</w:t>
            </w:r>
            <w:r w:rsidR="001D4932">
              <w:t xml:space="preserve"> 55 cm. </w:t>
            </w:r>
            <w:r>
              <w:t>Hydration status OK /RN</w:t>
            </w:r>
          </w:p>
        </w:tc>
      </w:tr>
      <w:tr w:rsidR="000D6374" w:rsidRPr="008600B9" w14:paraId="0C5B0D0C" w14:textId="77777777" w:rsidTr="0044599D">
        <w:tc>
          <w:tcPr>
            <w:tcW w:w="734" w:type="pct"/>
          </w:tcPr>
          <w:p w14:paraId="7A0CD7A7" w14:textId="77777777" w:rsidR="000D6374" w:rsidRDefault="000D6374" w:rsidP="000D6374">
            <w:pPr>
              <w:pStyle w:val="NoSpacing"/>
              <w:spacing w:line="276" w:lineRule="auto"/>
            </w:pPr>
          </w:p>
          <w:p w14:paraId="0B5EFA4A" w14:textId="66AC462B" w:rsidR="000D6374" w:rsidRPr="000A173A" w:rsidRDefault="000D6374" w:rsidP="000D6374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54A0FA89" w14:textId="77777777" w:rsidR="000D6374" w:rsidRDefault="000D6374" w:rsidP="000D6374">
            <w:pPr>
              <w:pStyle w:val="NoSpacing"/>
            </w:pPr>
          </w:p>
          <w:p w14:paraId="55B498E9" w14:textId="59BA216B" w:rsidR="000D6374" w:rsidRPr="000A173A" w:rsidRDefault="000D6374" w:rsidP="000D6374">
            <w:pPr>
              <w:pStyle w:val="NoSpacing"/>
            </w:pPr>
          </w:p>
        </w:tc>
      </w:tr>
      <w:tr w:rsidR="000D6374" w:rsidRPr="008600B9" w14:paraId="39E0F99F" w14:textId="77777777" w:rsidTr="0044599D">
        <w:tc>
          <w:tcPr>
            <w:tcW w:w="734" w:type="pct"/>
          </w:tcPr>
          <w:p w14:paraId="1C103624" w14:textId="77777777" w:rsidR="000D6374" w:rsidRPr="000A173A" w:rsidRDefault="000D6374" w:rsidP="000D6374">
            <w:pPr>
              <w:pStyle w:val="NoSpacing"/>
              <w:spacing w:line="276" w:lineRule="auto"/>
            </w:pPr>
          </w:p>
          <w:p w14:paraId="6C4A46D5" w14:textId="77777777" w:rsidR="000D6374" w:rsidRPr="000A173A" w:rsidRDefault="000D6374" w:rsidP="000D6374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788C407A" w14:textId="77777777" w:rsidR="000D6374" w:rsidRPr="000A173A" w:rsidRDefault="000D6374" w:rsidP="000D6374">
            <w:pPr>
              <w:pStyle w:val="NoSpacing"/>
              <w:spacing w:line="276" w:lineRule="auto"/>
            </w:pPr>
          </w:p>
          <w:p w14:paraId="57DC4F74" w14:textId="77777777" w:rsidR="000D6374" w:rsidRPr="000A173A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C06F50" w14:paraId="37333B6C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06D5127F" w14:textId="77777777" w:rsidR="000D6374" w:rsidRPr="00DD32E1" w:rsidRDefault="000D6374" w:rsidP="000D6374">
            <w:pPr>
              <w:pStyle w:val="NoSpacing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0D6374" w:rsidRPr="008600B9" w14:paraId="7335DD03" w14:textId="77777777" w:rsidTr="0044599D">
        <w:tc>
          <w:tcPr>
            <w:tcW w:w="5000" w:type="pct"/>
            <w:gridSpan w:val="2"/>
          </w:tcPr>
          <w:p w14:paraId="437B7B4C" w14:textId="2D76DFD2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 xml:space="preserve">Provider </w:t>
            </w:r>
            <w:r>
              <w:rPr>
                <w:b/>
              </w:rPr>
              <w:t>O</w:t>
            </w:r>
            <w:r w:rsidRPr="008600B9">
              <w:rPr>
                <w:b/>
              </w:rPr>
              <w:t>rders</w:t>
            </w:r>
          </w:p>
        </w:tc>
      </w:tr>
      <w:tr w:rsidR="000D6374" w:rsidRPr="008600B9" w14:paraId="06DFE4B2" w14:textId="77777777" w:rsidTr="0044599D">
        <w:tc>
          <w:tcPr>
            <w:tcW w:w="5000" w:type="pct"/>
            <w:gridSpan w:val="2"/>
          </w:tcPr>
          <w:p w14:paraId="746CA416" w14:textId="218F8684" w:rsidR="000D6374" w:rsidRPr="008600B9" w:rsidRDefault="000D6374" w:rsidP="000D6374">
            <w:pPr>
              <w:pStyle w:val="NoSpacing"/>
              <w:spacing w:line="276" w:lineRule="auto"/>
            </w:pPr>
            <w:r w:rsidRPr="00B514EB">
              <w:t xml:space="preserve">Activity: </w:t>
            </w:r>
            <w:bookmarkStart w:id="11" w:name="_Hlk513628476"/>
            <w:r w:rsidR="00305527">
              <w:t>O</w:t>
            </w:r>
            <w:r>
              <w:t>ut of bed as tolerated</w:t>
            </w:r>
            <w:bookmarkEnd w:id="11"/>
          </w:p>
        </w:tc>
      </w:tr>
      <w:tr w:rsidR="000D6374" w:rsidRPr="008600B9" w14:paraId="1BF22F72" w14:textId="77777777" w:rsidTr="0044599D">
        <w:tc>
          <w:tcPr>
            <w:tcW w:w="5000" w:type="pct"/>
            <w:gridSpan w:val="2"/>
          </w:tcPr>
          <w:p w14:paraId="0D1D8F6E" w14:textId="77777777" w:rsidR="000D6374" w:rsidRPr="00CF7FBB" w:rsidRDefault="000D6374" w:rsidP="000D6374">
            <w:pPr>
              <w:pStyle w:val="NoSpacing"/>
            </w:pPr>
            <w:r w:rsidRPr="00B514EB">
              <w:t xml:space="preserve">Diet: </w:t>
            </w:r>
            <w:r w:rsidRPr="00CF7FBB">
              <w:t>Fluid nutrition via nasogastric tube administration</w:t>
            </w:r>
            <w:r>
              <w:t>:</w:t>
            </w:r>
          </w:p>
          <w:p w14:paraId="4214140D" w14:textId="1E2A673E" w:rsidR="000D6374" w:rsidRDefault="000D6374" w:rsidP="0049564F">
            <w:pPr>
              <w:spacing w:before="0"/>
            </w:pPr>
            <w:r>
              <w:t>Administer 340 mL s</w:t>
            </w:r>
            <w:r w:rsidRPr="0040538A">
              <w:t>tandard fluid nutrition 1.</w:t>
            </w:r>
            <w:r>
              <w:t>5</w:t>
            </w:r>
            <w:r w:rsidRPr="0040538A">
              <w:t xml:space="preserve"> kcal/mL</w:t>
            </w:r>
            <w:r>
              <w:t xml:space="preserve"> over 30 minutes, 5 times a day evenly dispersed, during wak</w:t>
            </w:r>
            <w:r w:rsidR="00305527">
              <w:t>ing</w:t>
            </w:r>
            <w:r>
              <w:t xml:space="preserve"> hours.</w:t>
            </w:r>
          </w:p>
          <w:p w14:paraId="56552826" w14:textId="5BC776C9" w:rsidR="000D6374" w:rsidRPr="008600B9" w:rsidRDefault="000D6374" w:rsidP="000D6374">
            <w:pPr>
              <w:pStyle w:val="NoSpacing"/>
              <w:spacing w:line="276" w:lineRule="auto"/>
            </w:pPr>
            <w:r>
              <w:t>Administer 250 mL water, 5 times a day evenly dispersed, during wak</w:t>
            </w:r>
            <w:r w:rsidR="00305527">
              <w:t>ing</w:t>
            </w:r>
            <w:r>
              <w:t xml:space="preserve"> hours.</w:t>
            </w:r>
          </w:p>
        </w:tc>
      </w:tr>
      <w:tr w:rsidR="000D6374" w:rsidRPr="008600B9" w14:paraId="308D3FDD" w14:textId="77777777" w:rsidTr="0044599D">
        <w:tc>
          <w:tcPr>
            <w:tcW w:w="5000" w:type="pct"/>
            <w:gridSpan w:val="2"/>
          </w:tcPr>
          <w:p w14:paraId="3512E2A2" w14:textId="048D40DC" w:rsidR="000D6374" w:rsidRPr="008600B9" w:rsidRDefault="000D6374" w:rsidP="000D6374">
            <w:pPr>
              <w:pStyle w:val="NoSpacing"/>
              <w:spacing w:line="276" w:lineRule="auto"/>
            </w:pPr>
            <w:r w:rsidRPr="00B514EB">
              <w:t>Vital signs</w:t>
            </w:r>
            <w:r>
              <w:t xml:space="preserve"> every</w:t>
            </w:r>
            <w:r w:rsidRPr="00B514EB">
              <w:t xml:space="preserve"> </w:t>
            </w:r>
            <w:r>
              <w:t>4</w:t>
            </w:r>
            <w:r w:rsidRPr="00B514EB">
              <w:t xml:space="preserve"> hours</w:t>
            </w:r>
          </w:p>
        </w:tc>
      </w:tr>
      <w:tr w:rsidR="000D6374" w:rsidRPr="008600B9" w14:paraId="3115D94E" w14:textId="77777777" w:rsidTr="0044599D">
        <w:tc>
          <w:tcPr>
            <w:tcW w:w="5000" w:type="pct"/>
            <w:gridSpan w:val="2"/>
          </w:tcPr>
          <w:p w14:paraId="35D7C10D" w14:textId="5EB7E8A7" w:rsidR="000D6374" w:rsidRPr="008600B9" w:rsidRDefault="000D6374" w:rsidP="000D6374">
            <w:pPr>
              <w:pStyle w:val="NoSpacing"/>
              <w:spacing w:line="276" w:lineRule="auto"/>
            </w:pPr>
            <w:r>
              <w:t>Asses hydration status every 4 hours</w:t>
            </w:r>
          </w:p>
        </w:tc>
      </w:tr>
      <w:tr w:rsidR="000D6374" w:rsidRPr="008600B9" w14:paraId="26387CAA" w14:textId="77777777" w:rsidTr="0044599D">
        <w:tc>
          <w:tcPr>
            <w:tcW w:w="5000" w:type="pct"/>
            <w:gridSpan w:val="2"/>
          </w:tcPr>
          <w:p w14:paraId="2E3E470D" w14:textId="5875DF5B" w:rsidR="000D6374" w:rsidRPr="008600B9" w:rsidRDefault="000D6374" w:rsidP="000D6374">
            <w:pPr>
              <w:pStyle w:val="NoSpacing"/>
              <w:spacing w:line="276" w:lineRule="auto"/>
            </w:pPr>
            <w:r>
              <w:t>Record intake and output</w:t>
            </w:r>
          </w:p>
        </w:tc>
      </w:tr>
      <w:tr w:rsidR="000D6374" w:rsidRPr="008600B9" w14:paraId="07F4F5CB" w14:textId="77777777" w:rsidTr="0044599D">
        <w:tc>
          <w:tcPr>
            <w:tcW w:w="5000" w:type="pct"/>
            <w:gridSpan w:val="2"/>
          </w:tcPr>
          <w:p w14:paraId="575C389E" w14:textId="77777777" w:rsidR="000D6374" w:rsidRPr="008600B9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C06F50" w14:paraId="46355DDC" w14:textId="77777777" w:rsidTr="00DD32E1">
        <w:trPr>
          <w:trHeight w:val="53"/>
        </w:trPr>
        <w:tc>
          <w:tcPr>
            <w:tcW w:w="5000" w:type="pct"/>
            <w:gridSpan w:val="2"/>
            <w:shd w:val="clear" w:color="auto" w:fill="4472C4" w:themeFill="accent1"/>
          </w:tcPr>
          <w:p w14:paraId="5B8631E7" w14:textId="77777777" w:rsidR="000D6374" w:rsidRPr="00DD32E1" w:rsidRDefault="000D6374" w:rsidP="000D6374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8600B9" w14:paraId="2E4D5491" w14:textId="77777777" w:rsidTr="0044599D">
        <w:tc>
          <w:tcPr>
            <w:tcW w:w="5000" w:type="pct"/>
            <w:gridSpan w:val="2"/>
          </w:tcPr>
          <w:p w14:paraId="085E8CD4" w14:textId="06BF4582" w:rsidR="000D6374" w:rsidRPr="008600B9" w:rsidRDefault="000D6374" w:rsidP="000D6374">
            <w:pPr>
              <w:pStyle w:val="NoSpacing"/>
              <w:spacing w:line="276" w:lineRule="auto"/>
            </w:pPr>
            <w:r w:rsidRPr="008600B9">
              <w:rPr>
                <w:b/>
              </w:rPr>
              <w:t xml:space="preserve">Medical </w:t>
            </w:r>
            <w:r>
              <w:rPr>
                <w:b/>
              </w:rPr>
              <w:t>A</w:t>
            </w:r>
            <w:r w:rsidRPr="008600B9">
              <w:rPr>
                <w:b/>
              </w:rPr>
              <w:t xml:space="preserve">dministration </w:t>
            </w:r>
            <w:r>
              <w:rPr>
                <w:b/>
              </w:rPr>
              <w:t>R</w:t>
            </w:r>
            <w:r w:rsidRPr="008600B9">
              <w:rPr>
                <w:b/>
              </w:rPr>
              <w:t>ecord</w:t>
            </w:r>
          </w:p>
        </w:tc>
      </w:tr>
      <w:tr w:rsidR="000D6374" w:rsidRPr="008600B9" w14:paraId="36D8A244" w14:textId="77777777" w:rsidTr="0044599D">
        <w:tc>
          <w:tcPr>
            <w:tcW w:w="734" w:type="pct"/>
          </w:tcPr>
          <w:p w14:paraId="67B21750" w14:textId="77777777" w:rsidR="000D6374" w:rsidRPr="008600B9" w:rsidRDefault="000D6374" w:rsidP="000D6374">
            <w:pPr>
              <w:pStyle w:val="NoSpacing"/>
              <w:spacing w:line="276" w:lineRule="auto"/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363553B2" w14:textId="77777777" w:rsidR="000D6374" w:rsidRPr="008600B9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8600B9" w14:paraId="4E9168B4" w14:textId="77777777" w:rsidTr="0044599D">
        <w:tc>
          <w:tcPr>
            <w:tcW w:w="734" w:type="pct"/>
          </w:tcPr>
          <w:p w14:paraId="2FD5D2EF" w14:textId="367ACFAC" w:rsidR="000D6374" w:rsidRPr="008600B9" w:rsidRDefault="000D6374" w:rsidP="000D6374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3909F88F" w14:textId="2C93A056" w:rsidR="000D6374" w:rsidRPr="008600B9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8600B9" w14:paraId="65D132AC" w14:textId="77777777" w:rsidTr="0044599D">
        <w:tc>
          <w:tcPr>
            <w:tcW w:w="734" w:type="pct"/>
          </w:tcPr>
          <w:p w14:paraId="3B6AAAAA" w14:textId="0DF7BC06" w:rsidR="000D6374" w:rsidRPr="008600B9" w:rsidRDefault="000D6374" w:rsidP="000D6374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06221D78" w14:textId="41C3C209" w:rsidR="000D6374" w:rsidRPr="008600B9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8600B9" w14:paraId="6870D55A" w14:textId="77777777" w:rsidTr="0044599D">
        <w:tc>
          <w:tcPr>
            <w:tcW w:w="734" w:type="pct"/>
          </w:tcPr>
          <w:p w14:paraId="2591E586" w14:textId="77777777" w:rsidR="000D6374" w:rsidRPr="008600B9" w:rsidRDefault="000D6374" w:rsidP="000D6374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691F14E0" w14:textId="77777777" w:rsidR="000D6374" w:rsidRPr="008600B9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8600B9" w14:paraId="16B34468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4BB5C0D3" w14:textId="77777777" w:rsidR="000D6374" w:rsidRPr="00DD32E1" w:rsidRDefault="000D6374" w:rsidP="000D6374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8600B9" w14:paraId="12FEB26C" w14:textId="77777777" w:rsidTr="0044599D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8600B9" w:rsidRDefault="000D6374" w:rsidP="000D6374">
            <w:pPr>
              <w:pStyle w:val="NoSpacing"/>
              <w:spacing w:line="276" w:lineRule="auto"/>
              <w:rPr>
                <w:sz w:val="12"/>
                <w:szCs w:val="12"/>
              </w:rPr>
            </w:pPr>
            <w:r w:rsidRPr="008600B9">
              <w:rPr>
                <w:b/>
              </w:rPr>
              <w:t xml:space="preserve">Vital </w:t>
            </w:r>
            <w:r>
              <w:rPr>
                <w:b/>
              </w:rPr>
              <w:t>S</w:t>
            </w:r>
            <w:r w:rsidRPr="008600B9">
              <w:rPr>
                <w:b/>
              </w:rPr>
              <w:t>igns</w:t>
            </w:r>
          </w:p>
        </w:tc>
      </w:tr>
      <w:tr w:rsidR="000D6374" w:rsidRPr="008600B9" w14:paraId="59EB57C7" w14:textId="77777777" w:rsidTr="0044599D">
        <w:trPr>
          <w:trHeight w:val="280"/>
        </w:trPr>
        <w:tc>
          <w:tcPr>
            <w:tcW w:w="734" w:type="pct"/>
          </w:tcPr>
          <w:p w14:paraId="500F964D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0105E33D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E7247E" w:rsidRPr="00ED30CC" w14:paraId="75A421BB" w14:textId="77777777" w:rsidTr="0044599D">
        <w:tc>
          <w:tcPr>
            <w:tcW w:w="734" w:type="pct"/>
          </w:tcPr>
          <w:p w14:paraId="3493451C" w14:textId="5ACE328B" w:rsidR="00E7247E" w:rsidRPr="008600B9" w:rsidRDefault="00E7247E" w:rsidP="00E7247E">
            <w:pPr>
              <w:pStyle w:val="NoSpacing"/>
              <w:spacing w:line="276" w:lineRule="auto"/>
            </w:pPr>
            <w:r>
              <w:rPr>
                <w:lang w:val="da-DK"/>
              </w:rPr>
              <w:t>Today, 08</w:t>
            </w:r>
            <w:r w:rsidR="00305527">
              <w:rPr>
                <w:lang w:val="da-DK"/>
              </w:rPr>
              <w:t>:</w:t>
            </w:r>
            <w:r>
              <w:rPr>
                <w:lang w:val="da-DK"/>
              </w:rPr>
              <w:t>00</w:t>
            </w:r>
          </w:p>
        </w:tc>
        <w:tc>
          <w:tcPr>
            <w:tcW w:w="4266" w:type="pct"/>
          </w:tcPr>
          <w:p w14:paraId="10CF23FC" w14:textId="3103E4C8" w:rsidR="00E7247E" w:rsidRPr="003059CF" w:rsidRDefault="00E7247E" w:rsidP="00E7247E">
            <w:pPr>
              <w:pStyle w:val="NoSpacing"/>
              <w:spacing w:line="276" w:lineRule="auto"/>
              <w:rPr>
                <w:lang w:val="da-DK"/>
              </w:rPr>
            </w:pPr>
            <w:r w:rsidRPr="00B514EB">
              <w:rPr>
                <w:b/>
                <w:lang w:val="da-DK"/>
              </w:rPr>
              <w:t xml:space="preserve">BP: </w:t>
            </w:r>
            <w:r w:rsidRPr="00B514EB">
              <w:rPr>
                <w:lang w:val="da-DK"/>
              </w:rPr>
              <w:t>1</w:t>
            </w:r>
            <w:r>
              <w:rPr>
                <w:lang w:val="da-DK"/>
              </w:rPr>
              <w:t>35</w:t>
            </w:r>
            <w:r w:rsidRPr="00B514EB">
              <w:rPr>
                <w:lang w:val="da-DK"/>
              </w:rPr>
              <w:t>/</w:t>
            </w:r>
            <w:r>
              <w:rPr>
                <w:lang w:val="da-DK"/>
              </w:rPr>
              <w:t>85</w:t>
            </w:r>
            <w:r w:rsidRPr="00B514EB">
              <w:rPr>
                <w:lang w:val="da-DK"/>
              </w:rPr>
              <w:t xml:space="preserve"> mmHg </w:t>
            </w:r>
            <w:r>
              <w:rPr>
                <w:lang w:val="da-DK"/>
              </w:rPr>
              <w:t xml:space="preserve"> </w:t>
            </w:r>
            <w:r w:rsidRPr="00B514EB">
              <w:rPr>
                <w:b/>
                <w:lang w:val="da-DK"/>
              </w:rPr>
              <w:t>HR:</w:t>
            </w:r>
            <w:r w:rsidRPr="00B514EB">
              <w:rPr>
                <w:lang w:val="da-DK"/>
              </w:rPr>
              <w:t xml:space="preserve"> </w:t>
            </w:r>
            <w:r>
              <w:rPr>
                <w:lang w:val="da-DK"/>
              </w:rPr>
              <w:t>85</w:t>
            </w:r>
            <w:r w:rsidRPr="00B514EB">
              <w:rPr>
                <w:lang w:val="da-DK"/>
              </w:rPr>
              <w:t xml:space="preserve">/min </w:t>
            </w:r>
            <w:r>
              <w:rPr>
                <w:lang w:val="da-DK"/>
              </w:rPr>
              <w:t xml:space="preserve"> </w:t>
            </w:r>
            <w:r w:rsidRPr="00B514EB">
              <w:rPr>
                <w:b/>
                <w:lang w:val="da-DK"/>
              </w:rPr>
              <w:t>RR:</w:t>
            </w:r>
            <w:r w:rsidRPr="00B514EB">
              <w:rPr>
                <w:lang w:val="da-DK"/>
              </w:rPr>
              <w:t xml:space="preserve"> 1</w:t>
            </w:r>
            <w:r>
              <w:rPr>
                <w:lang w:val="da-DK"/>
              </w:rPr>
              <w:t>5</w:t>
            </w:r>
            <w:r w:rsidRPr="00B514EB">
              <w:rPr>
                <w:lang w:val="da-DK"/>
              </w:rPr>
              <w:t xml:space="preserve">/min </w:t>
            </w:r>
            <w:r>
              <w:rPr>
                <w:lang w:val="da-DK"/>
              </w:rPr>
              <w:t xml:space="preserve"> </w:t>
            </w:r>
            <w:r w:rsidRPr="00B514EB">
              <w:rPr>
                <w:b/>
                <w:lang w:val="da-DK"/>
              </w:rPr>
              <w:t>SpO</w:t>
            </w:r>
            <w:r w:rsidRPr="00B514EB">
              <w:rPr>
                <w:b/>
                <w:vertAlign w:val="subscript"/>
                <w:lang w:val="da-DK"/>
              </w:rPr>
              <w:t>2</w:t>
            </w:r>
            <w:r w:rsidRPr="00B514EB">
              <w:rPr>
                <w:b/>
                <w:lang w:val="da-DK"/>
              </w:rPr>
              <w:t>:</w:t>
            </w:r>
            <w:r w:rsidRPr="00B514EB">
              <w:rPr>
                <w:lang w:val="da-DK"/>
              </w:rPr>
              <w:t xml:space="preserve"> 9</w:t>
            </w:r>
            <w:r>
              <w:rPr>
                <w:lang w:val="da-DK"/>
              </w:rPr>
              <w:t>9</w:t>
            </w:r>
            <w:r w:rsidRPr="00B514EB">
              <w:rPr>
                <w:lang w:val="da-DK"/>
              </w:rPr>
              <w:t>%</w:t>
            </w:r>
            <w:r>
              <w:rPr>
                <w:lang w:val="da-DK"/>
              </w:rPr>
              <w:t xml:space="preserve">  </w:t>
            </w:r>
            <w:r w:rsidRPr="006B1821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37.0</w:t>
            </w:r>
            <w:r w:rsidRPr="006B1821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 (98.6</w:t>
            </w:r>
            <w:r w:rsidRPr="006B1821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F)</w:t>
            </w:r>
          </w:p>
        </w:tc>
      </w:tr>
      <w:tr w:rsidR="000D6374" w:rsidRPr="008600B9" w14:paraId="735507BD" w14:textId="77777777" w:rsidTr="0044599D">
        <w:tc>
          <w:tcPr>
            <w:tcW w:w="734" w:type="pct"/>
          </w:tcPr>
          <w:p w14:paraId="2B2526DD" w14:textId="77777777" w:rsidR="000D6374" w:rsidRPr="003059CF" w:rsidRDefault="000D6374" w:rsidP="000D6374">
            <w:pPr>
              <w:pStyle w:val="NoSpacing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</w:tcPr>
          <w:p w14:paraId="4B50BC4F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 xml:space="preserve">BP:                           </w:t>
            </w:r>
            <w:r w:rsidRPr="008600B9">
              <w:t xml:space="preserve">  </w:t>
            </w:r>
            <w:r w:rsidRPr="008600B9">
              <w:rPr>
                <w:b/>
              </w:rPr>
              <w:t>HR:</w:t>
            </w:r>
            <w:r w:rsidRPr="008600B9">
              <w:t xml:space="preserve">                </w:t>
            </w:r>
            <w:r w:rsidRPr="008600B9">
              <w:rPr>
                <w:b/>
              </w:rPr>
              <w:t>RR:</w:t>
            </w:r>
            <w:r w:rsidRPr="008600B9">
              <w:t xml:space="preserve">                </w:t>
            </w:r>
            <w:r w:rsidRPr="008600B9">
              <w:rPr>
                <w:b/>
              </w:rPr>
              <w:t>SpO</w:t>
            </w:r>
            <w:r w:rsidRPr="008600B9">
              <w:rPr>
                <w:b/>
                <w:vertAlign w:val="subscript"/>
              </w:rPr>
              <w:t>2</w:t>
            </w:r>
            <w:r w:rsidRPr="008600B9">
              <w:rPr>
                <w:b/>
              </w:rPr>
              <w:t>:</w:t>
            </w:r>
            <w:r w:rsidRPr="008600B9">
              <w:t xml:space="preserve">           </w:t>
            </w:r>
            <w:r w:rsidRPr="008600B9">
              <w:rPr>
                <w:b/>
              </w:rPr>
              <w:t>Temp:</w:t>
            </w:r>
          </w:p>
        </w:tc>
      </w:tr>
    </w:tbl>
    <w:p w14:paraId="2236A1E0" w14:textId="541B6CA2" w:rsidR="00153A70" w:rsidRDefault="00153A70">
      <w:pPr>
        <w:spacing w:before="100" w:after="200" w:line="276" w:lineRule="auto"/>
      </w:pPr>
      <w:r>
        <w:br w:type="page"/>
      </w:r>
    </w:p>
    <w:p w14:paraId="3B235905" w14:textId="561AEA4F" w:rsidR="00153A70" w:rsidRDefault="00153A70" w:rsidP="00153A70">
      <w:pPr>
        <w:pStyle w:val="Heading1"/>
      </w:pPr>
      <w:r>
        <w:lastRenderedPageBreak/>
        <w:t>Intake &amp;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865"/>
        <w:gridCol w:w="863"/>
        <w:gridCol w:w="862"/>
        <w:gridCol w:w="865"/>
        <w:gridCol w:w="866"/>
        <w:gridCol w:w="817"/>
        <w:gridCol w:w="843"/>
        <w:gridCol w:w="814"/>
        <w:gridCol w:w="818"/>
        <w:gridCol w:w="817"/>
      </w:tblGrid>
      <w:tr w:rsidR="003809D7" w:rsidRPr="00254C3A" w14:paraId="3E167EC3" w14:textId="77777777" w:rsidTr="00196258">
        <w:tc>
          <w:tcPr>
            <w:tcW w:w="9628" w:type="dxa"/>
            <w:gridSpan w:val="11"/>
          </w:tcPr>
          <w:p w14:paraId="205027E0" w14:textId="0BBF2E61" w:rsidR="003809D7" w:rsidRPr="00254C3A" w:rsidRDefault="003809D7" w:rsidP="003809D7">
            <w:pPr>
              <w:pStyle w:val="NoSpacing"/>
              <w:rPr>
                <w:b/>
                <w:bCs/>
                <w:sz w:val="12"/>
                <w:szCs w:val="12"/>
              </w:rPr>
            </w:pPr>
            <w:r w:rsidRPr="00B514EB">
              <w:rPr>
                <w:b/>
                <w:bCs/>
              </w:rPr>
              <w:t xml:space="preserve">Patient name: </w:t>
            </w:r>
            <w:r w:rsidRPr="004439B5">
              <w:rPr>
                <w:bCs/>
              </w:rPr>
              <w:t>Mary West</w:t>
            </w:r>
            <w:r w:rsidRPr="00B514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B514EB">
              <w:rPr>
                <w:b/>
                <w:bCs/>
              </w:rPr>
              <w:t xml:space="preserve">Gender: </w:t>
            </w:r>
            <w:r w:rsidRPr="00B514EB">
              <w:t xml:space="preserve">Female  </w:t>
            </w:r>
            <w:r>
              <w:t xml:space="preserve">  </w:t>
            </w:r>
            <w:r w:rsidRPr="00B514EB">
              <w:rPr>
                <w:b/>
                <w:bCs/>
              </w:rPr>
              <w:t xml:space="preserve">Allergies: </w:t>
            </w:r>
            <w:r w:rsidRPr="00B514EB">
              <w:t xml:space="preserve">No known allergies  </w:t>
            </w:r>
            <w:r>
              <w:t xml:space="preserve">  </w:t>
            </w:r>
            <w:r w:rsidRPr="00B514EB">
              <w:rPr>
                <w:b/>
                <w:bCs/>
              </w:rPr>
              <w:t xml:space="preserve">DOB: </w:t>
            </w:r>
            <w:r w:rsidRPr="003538D3">
              <w:rPr>
                <w:bCs/>
              </w:rPr>
              <w:t>1</w:t>
            </w:r>
            <w:r w:rsidRPr="004439B5">
              <w:rPr>
                <w:bCs/>
              </w:rPr>
              <w:t>8</w:t>
            </w:r>
            <w:r w:rsidRPr="00B514EB">
              <w:rPr>
                <w:bCs/>
              </w:rPr>
              <w:t>/</w:t>
            </w:r>
            <w:r>
              <w:rPr>
                <w:bCs/>
              </w:rPr>
              <w:t>10</w:t>
            </w:r>
            <w:r w:rsidRPr="00B514EB">
              <w:rPr>
                <w:bCs/>
              </w:rPr>
              <w:t>-XXXX</w:t>
            </w:r>
            <w:r w:rsidRPr="00B514EB">
              <w:t xml:space="preserve">  </w:t>
            </w:r>
          </w:p>
        </w:tc>
      </w:tr>
      <w:tr w:rsidR="003809D7" w:rsidRPr="00254C3A" w14:paraId="0D001337" w14:textId="77777777" w:rsidTr="00196258">
        <w:tc>
          <w:tcPr>
            <w:tcW w:w="9628" w:type="dxa"/>
            <w:gridSpan w:val="11"/>
          </w:tcPr>
          <w:p w14:paraId="1468A148" w14:textId="4062F1AA" w:rsidR="003809D7" w:rsidRPr="00254C3A" w:rsidRDefault="003809D7" w:rsidP="003809D7">
            <w:pPr>
              <w:pStyle w:val="NoSpacing"/>
              <w:rPr>
                <w:sz w:val="12"/>
                <w:szCs w:val="12"/>
              </w:rPr>
            </w:pPr>
            <w:r w:rsidRPr="00B514EB">
              <w:rPr>
                <w:b/>
                <w:bCs/>
              </w:rPr>
              <w:t xml:space="preserve">Age: </w:t>
            </w:r>
            <w:r>
              <w:rPr>
                <w:bCs/>
              </w:rPr>
              <w:t>6</w:t>
            </w:r>
            <w:r w:rsidRPr="00BA4C77">
              <w:rPr>
                <w:bCs/>
              </w:rPr>
              <w:t>5</w:t>
            </w:r>
            <w:r w:rsidRPr="00B514EB">
              <w:t xml:space="preserve"> years  </w:t>
            </w:r>
            <w:r>
              <w:t xml:space="preserve">     </w:t>
            </w:r>
            <w:r w:rsidRPr="00B514EB">
              <w:rPr>
                <w:b/>
                <w:bCs/>
              </w:rPr>
              <w:t xml:space="preserve">Height: </w:t>
            </w:r>
            <w:r w:rsidRPr="00B514EB">
              <w:t>1</w:t>
            </w:r>
            <w:r>
              <w:t>70</w:t>
            </w:r>
            <w:r w:rsidRPr="00B514EB">
              <w:t xml:space="preserve"> cm (6</w:t>
            </w:r>
            <w:r>
              <w:t>7</w:t>
            </w:r>
            <w:r w:rsidRPr="00B514EB">
              <w:t xml:space="preserve"> in.) </w:t>
            </w:r>
            <w:r>
              <w:t xml:space="preserve">     </w:t>
            </w:r>
            <w:r w:rsidRPr="00B514EB">
              <w:t xml:space="preserve"> </w:t>
            </w:r>
            <w:r>
              <w:t xml:space="preserve">   </w:t>
            </w:r>
            <w:r w:rsidRPr="00B514EB">
              <w:rPr>
                <w:b/>
                <w:bCs/>
              </w:rPr>
              <w:t xml:space="preserve">Weight: </w:t>
            </w:r>
            <w:r w:rsidRPr="00B514EB">
              <w:t>6</w:t>
            </w:r>
            <w:r>
              <w:t>1</w:t>
            </w:r>
            <w:r w:rsidRPr="00B514EB">
              <w:t xml:space="preserve"> kg (13</w:t>
            </w:r>
            <w:r>
              <w:t>4</w:t>
            </w:r>
            <w:r w:rsidRPr="00B514EB">
              <w:t xml:space="preserve"> lb.)</w:t>
            </w:r>
            <w:r>
              <w:t xml:space="preserve">     </w:t>
            </w:r>
            <w:r w:rsidRPr="00B514EB">
              <w:t xml:space="preserve">  </w:t>
            </w:r>
            <w:r w:rsidRPr="00B514EB">
              <w:rPr>
                <w:b/>
                <w:bCs/>
              </w:rPr>
              <w:t xml:space="preserve">MRN: </w:t>
            </w:r>
            <w:r>
              <w:t>00156330</w:t>
            </w:r>
            <w:r w:rsidRPr="00B514EB">
              <w:t xml:space="preserve">  </w:t>
            </w:r>
          </w:p>
        </w:tc>
      </w:tr>
      <w:tr w:rsidR="003809D7" w:rsidRPr="00254C3A" w14:paraId="79E955D3" w14:textId="77777777" w:rsidTr="00196258">
        <w:tc>
          <w:tcPr>
            <w:tcW w:w="9628" w:type="dxa"/>
            <w:gridSpan w:val="11"/>
          </w:tcPr>
          <w:p w14:paraId="7BFB7CA2" w14:textId="2EDDE9F7" w:rsidR="003809D7" w:rsidRPr="00254C3A" w:rsidRDefault="003809D7" w:rsidP="003809D7">
            <w:pPr>
              <w:pStyle w:val="NoSpacing"/>
              <w:rPr>
                <w:sz w:val="12"/>
                <w:szCs w:val="12"/>
              </w:rPr>
            </w:pPr>
            <w:r w:rsidRPr="00B514EB">
              <w:rPr>
                <w:b/>
                <w:bCs/>
              </w:rPr>
              <w:t>Diagnosis:</w:t>
            </w:r>
            <w:r>
              <w:rPr>
                <w:b/>
                <w:bCs/>
              </w:rPr>
              <w:t xml:space="preserve"> </w:t>
            </w:r>
            <w:r w:rsidRPr="00F53EA5">
              <w:rPr>
                <w:bCs/>
              </w:rPr>
              <w:t>B</w:t>
            </w:r>
            <w:r w:rsidRPr="00F53EA5">
              <w:t>enign</w:t>
            </w:r>
            <w:r>
              <w:t xml:space="preserve"> tumor in esophagus       </w:t>
            </w:r>
            <w:r w:rsidRPr="00B514EB">
              <w:rPr>
                <w:b/>
                <w:bCs/>
              </w:rPr>
              <w:t xml:space="preserve">Adm </w:t>
            </w:r>
            <w:r>
              <w:rPr>
                <w:b/>
                <w:bCs/>
              </w:rPr>
              <w:t>d</w:t>
            </w:r>
            <w:r w:rsidRPr="00B514EB">
              <w:rPr>
                <w:b/>
                <w:bCs/>
              </w:rPr>
              <w:t xml:space="preserve">ate: </w:t>
            </w:r>
            <w:r w:rsidRPr="00F53EA5">
              <w:rPr>
                <w:bCs/>
              </w:rPr>
              <w:t>Yesterday</w:t>
            </w:r>
          </w:p>
        </w:tc>
      </w:tr>
      <w:tr w:rsidR="003809D7" w:rsidRPr="00254C3A" w14:paraId="17334240" w14:textId="77777777" w:rsidTr="00196258">
        <w:tc>
          <w:tcPr>
            <w:tcW w:w="9628" w:type="dxa"/>
            <w:gridSpan w:val="11"/>
          </w:tcPr>
          <w:p w14:paraId="7DF766E4" w14:textId="12656F17" w:rsidR="003809D7" w:rsidRPr="00254C3A" w:rsidRDefault="003809D7" w:rsidP="003809D7">
            <w:pPr>
              <w:pStyle w:val="NoSpacing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Facility: </w:t>
            </w:r>
            <w:r w:rsidRPr="00D01F8E">
              <w:rPr>
                <w:bCs/>
              </w:rPr>
              <w:t>Surgical unit</w:t>
            </w:r>
            <w:r>
              <w:rPr>
                <w:b/>
                <w:bCs/>
              </w:rPr>
              <w:t xml:space="preserve">         Advanced directive: </w:t>
            </w:r>
            <w:r w:rsidRPr="00D01F8E">
              <w:rPr>
                <w:bCs/>
              </w:rPr>
              <w:t>No</w:t>
            </w:r>
            <w:r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Isolation precautions: </w:t>
            </w:r>
            <w:r w:rsidRPr="00D01F8E">
              <w:rPr>
                <w:bCs/>
              </w:rPr>
              <w:t>No</w:t>
            </w:r>
            <w:r>
              <w:rPr>
                <w:bCs/>
              </w:rPr>
              <w:t>ne</w:t>
            </w:r>
          </w:p>
        </w:tc>
      </w:tr>
      <w:tr w:rsidR="00153A70" w:rsidRPr="00B514EB" w14:paraId="0EF9DC74" w14:textId="77777777" w:rsidTr="00F52695">
        <w:tc>
          <w:tcPr>
            <w:tcW w:w="9628" w:type="dxa"/>
            <w:gridSpan w:val="11"/>
            <w:shd w:val="clear" w:color="auto" w:fill="4472C4" w:themeFill="accent1"/>
          </w:tcPr>
          <w:p w14:paraId="248149D3" w14:textId="77777777" w:rsidR="00153A70" w:rsidRPr="00153A70" w:rsidRDefault="00153A70" w:rsidP="00196258">
            <w:pPr>
              <w:pStyle w:val="NoSpacing"/>
              <w:rPr>
                <w:sz w:val="4"/>
                <w:szCs w:val="4"/>
              </w:rPr>
            </w:pPr>
          </w:p>
        </w:tc>
      </w:tr>
      <w:tr w:rsidR="00153A70" w:rsidRPr="009F4984" w14:paraId="4316F2D7" w14:textId="77777777" w:rsidTr="00196258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228AF57B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Notes:</w:t>
            </w:r>
          </w:p>
          <w:p w14:paraId="47F83105" w14:textId="77777777" w:rsidR="00153A70" w:rsidRDefault="00153A70" w:rsidP="00196258">
            <w:pPr>
              <w:pStyle w:val="NoSpacing"/>
              <w:rPr>
                <w:b/>
              </w:rPr>
            </w:pPr>
          </w:p>
          <w:p w14:paraId="177D75A5" w14:textId="77777777" w:rsidR="00153A70" w:rsidRPr="009F4984" w:rsidRDefault="00153A70" w:rsidP="00196258">
            <w:pPr>
              <w:pStyle w:val="NoSpacing"/>
              <w:rPr>
                <w:b/>
              </w:rPr>
            </w:pPr>
          </w:p>
        </w:tc>
      </w:tr>
      <w:tr w:rsidR="00153A70" w:rsidRPr="009F4984" w14:paraId="31EBA3D3" w14:textId="77777777" w:rsidTr="00196258">
        <w:trPr>
          <w:trHeight w:val="64"/>
        </w:trPr>
        <w:tc>
          <w:tcPr>
            <w:tcW w:w="1198" w:type="dxa"/>
            <w:shd w:val="clear" w:color="auto" w:fill="auto"/>
          </w:tcPr>
          <w:p w14:paraId="626EE8E9" w14:textId="77777777" w:rsidR="00153A70" w:rsidRDefault="00153A70" w:rsidP="00196258">
            <w:pPr>
              <w:pStyle w:val="NoSpacing"/>
              <w:rPr>
                <w:b/>
              </w:rPr>
            </w:pPr>
          </w:p>
        </w:tc>
        <w:tc>
          <w:tcPr>
            <w:tcW w:w="4321" w:type="dxa"/>
            <w:gridSpan w:val="5"/>
            <w:shd w:val="clear" w:color="auto" w:fill="auto"/>
          </w:tcPr>
          <w:p w14:paraId="53EA256F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4109" w:type="dxa"/>
            <w:gridSpan w:val="5"/>
            <w:shd w:val="clear" w:color="auto" w:fill="auto"/>
          </w:tcPr>
          <w:p w14:paraId="58AAF7A7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153A70" w:rsidRPr="009F4984" w14:paraId="22A66DA8" w14:textId="77777777" w:rsidTr="00196258">
        <w:trPr>
          <w:trHeight w:val="64"/>
        </w:trPr>
        <w:tc>
          <w:tcPr>
            <w:tcW w:w="1198" w:type="dxa"/>
            <w:shd w:val="clear" w:color="auto" w:fill="auto"/>
          </w:tcPr>
          <w:p w14:paraId="37F8AD8B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Time/Date</w:t>
            </w:r>
          </w:p>
        </w:tc>
        <w:tc>
          <w:tcPr>
            <w:tcW w:w="865" w:type="dxa"/>
            <w:shd w:val="clear" w:color="auto" w:fill="auto"/>
          </w:tcPr>
          <w:p w14:paraId="5A2689CE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Oral </w:t>
            </w:r>
          </w:p>
        </w:tc>
        <w:tc>
          <w:tcPr>
            <w:tcW w:w="863" w:type="dxa"/>
            <w:shd w:val="clear" w:color="auto" w:fill="auto"/>
          </w:tcPr>
          <w:p w14:paraId="13819BA6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6E3CF3C9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336166F9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3AB82929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17" w:type="dxa"/>
            <w:shd w:val="clear" w:color="auto" w:fill="auto"/>
          </w:tcPr>
          <w:p w14:paraId="460FE768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Urine</w:t>
            </w:r>
          </w:p>
        </w:tc>
        <w:tc>
          <w:tcPr>
            <w:tcW w:w="843" w:type="dxa"/>
            <w:shd w:val="clear" w:color="auto" w:fill="auto"/>
          </w:tcPr>
          <w:p w14:paraId="6B2D4EA1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Emesis</w:t>
            </w:r>
          </w:p>
        </w:tc>
        <w:tc>
          <w:tcPr>
            <w:tcW w:w="814" w:type="dxa"/>
            <w:shd w:val="clear" w:color="auto" w:fill="auto"/>
          </w:tcPr>
          <w:p w14:paraId="442E6C20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43F6E85C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Drains</w:t>
            </w:r>
          </w:p>
          <w:p w14:paraId="723CD800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  <w:shd w:val="clear" w:color="auto" w:fill="auto"/>
          </w:tcPr>
          <w:p w14:paraId="23377C40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B06FA9" w:rsidRPr="009F4984" w14:paraId="658CB4F0" w14:textId="77777777" w:rsidTr="00196258">
        <w:trPr>
          <w:trHeight w:val="64"/>
        </w:trPr>
        <w:tc>
          <w:tcPr>
            <w:tcW w:w="1198" w:type="dxa"/>
            <w:shd w:val="clear" w:color="auto" w:fill="auto"/>
          </w:tcPr>
          <w:p w14:paraId="65C987AB" w14:textId="77777777" w:rsidR="00B06FA9" w:rsidRDefault="00B06FA9" w:rsidP="00B06FA9">
            <w:pPr>
              <w:pStyle w:val="NoSpacing"/>
              <w:rPr>
                <w:b/>
              </w:rPr>
            </w:pPr>
            <w:r>
              <w:rPr>
                <w:b/>
              </w:rPr>
              <w:t>23-07</w:t>
            </w:r>
          </w:p>
        </w:tc>
        <w:tc>
          <w:tcPr>
            <w:tcW w:w="865" w:type="dxa"/>
            <w:shd w:val="clear" w:color="auto" w:fill="auto"/>
          </w:tcPr>
          <w:p w14:paraId="6ACA9C46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4F98689" w14:textId="77777777" w:rsidR="00B06FA9" w:rsidRPr="00D20DB6" w:rsidRDefault="00B06FA9" w:rsidP="00B06FA9">
            <w:pPr>
              <w:pStyle w:val="NoSpacing"/>
              <w:rPr>
                <w:sz w:val="20"/>
              </w:rPr>
            </w:pPr>
            <w:r w:rsidRPr="00D20DB6">
              <w:rPr>
                <w:sz w:val="20"/>
              </w:rPr>
              <w:t>340</w:t>
            </w:r>
            <w:r>
              <w:rPr>
                <w:sz w:val="20"/>
              </w:rPr>
              <w:t xml:space="preserve"> mL</w:t>
            </w:r>
          </w:p>
          <w:p w14:paraId="53AB18F9" w14:textId="77777777" w:rsidR="00B06FA9" w:rsidRPr="00D20DB6" w:rsidRDefault="00B06FA9" w:rsidP="00B06FA9">
            <w:pPr>
              <w:pStyle w:val="NoSpacing"/>
              <w:rPr>
                <w:sz w:val="20"/>
              </w:rPr>
            </w:pPr>
          </w:p>
          <w:p w14:paraId="65E9F52D" w14:textId="77777777" w:rsidR="00B06FA9" w:rsidRDefault="00B06FA9" w:rsidP="00B06FA9">
            <w:pPr>
              <w:pStyle w:val="NoSpacing"/>
              <w:rPr>
                <w:sz w:val="20"/>
              </w:rPr>
            </w:pPr>
            <w:r w:rsidRPr="00D20DB6">
              <w:rPr>
                <w:sz w:val="20"/>
              </w:rPr>
              <w:t>250 mL</w:t>
            </w:r>
          </w:p>
          <w:p w14:paraId="5B6FAEB1" w14:textId="77777777" w:rsidR="00B06FA9" w:rsidRDefault="00B06FA9" w:rsidP="00B06FA9">
            <w:pPr>
              <w:pStyle w:val="NoSpacing"/>
              <w:rPr>
                <w:sz w:val="20"/>
              </w:rPr>
            </w:pPr>
          </w:p>
          <w:p w14:paraId="668D92FE" w14:textId="77777777" w:rsidR="00B06FA9" w:rsidRDefault="00B06FA9" w:rsidP="00B06FA9">
            <w:pPr>
              <w:pStyle w:val="NoSpacing"/>
              <w:rPr>
                <w:sz w:val="20"/>
              </w:rPr>
            </w:pPr>
          </w:p>
          <w:p w14:paraId="604CFA2E" w14:textId="77777777" w:rsidR="00B06FA9" w:rsidRDefault="00B06FA9" w:rsidP="00B06FA9">
            <w:pPr>
              <w:pStyle w:val="NoSpacing"/>
              <w:rPr>
                <w:sz w:val="20"/>
              </w:rPr>
            </w:pPr>
          </w:p>
          <w:p w14:paraId="0426A3BC" w14:textId="77777777" w:rsidR="00B06FA9" w:rsidRDefault="00B06FA9" w:rsidP="00B06FA9">
            <w:pPr>
              <w:pStyle w:val="NoSpacing"/>
              <w:rPr>
                <w:sz w:val="20"/>
              </w:rPr>
            </w:pPr>
          </w:p>
          <w:p w14:paraId="79DA0CDB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3D2C2F43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31DE100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0C4D97AB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7C0265C" w14:textId="71710897" w:rsidR="00B06FA9" w:rsidRPr="004D2B23" w:rsidRDefault="00B06FA9" w:rsidP="00B06FA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270 mL</w:t>
            </w:r>
          </w:p>
        </w:tc>
        <w:tc>
          <w:tcPr>
            <w:tcW w:w="843" w:type="dxa"/>
            <w:shd w:val="clear" w:color="auto" w:fill="auto"/>
          </w:tcPr>
          <w:p w14:paraId="418C437B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D059808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1AA63649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757D5E04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</w:tr>
      <w:tr w:rsidR="00B06FA9" w:rsidRPr="009F4984" w14:paraId="4C4AC6B4" w14:textId="77777777" w:rsidTr="00196258">
        <w:trPr>
          <w:trHeight w:val="64"/>
        </w:trPr>
        <w:tc>
          <w:tcPr>
            <w:tcW w:w="1198" w:type="dxa"/>
            <w:shd w:val="clear" w:color="auto" w:fill="auto"/>
          </w:tcPr>
          <w:p w14:paraId="62065432" w14:textId="77777777" w:rsidR="00B06FA9" w:rsidRDefault="00B06FA9" w:rsidP="00B06FA9">
            <w:pPr>
              <w:pStyle w:val="NoSpacing"/>
              <w:rPr>
                <w:b/>
              </w:rPr>
            </w:pPr>
            <w:r>
              <w:rPr>
                <w:b/>
              </w:rPr>
              <w:t>Shift total</w:t>
            </w:r>
          </w:p>
        </w:tc>
        <w:tc>
          <w:tcPr>
            <w:tcW w:w="865" w:type="dxa"/>
            <w:shd w:val="clear" w:color="auto" w:fill="auto"/>
          </w:tcPr>
          <w:p w14:paraId="27D8E96B" w14:textId="18636A44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77F6CE3" w14:textId="38F06B46" w:rsidR="00B06FA9" w:rsidRPr="004D2B23" w:rsidRDefault="00B06FA9" w:rsidP="00B06FA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590 mL</w:t>
            </w:r>
          </w:p>
        </w:tc>
        <w:tc>
          <w:tcPr>
            <w:tcW w:w="862" w:type="dxa"/>
            <w:shd w:val="clear" w:color="auto" w:fill="auto"/>
          </w:tcPr>
          <w:p w14:paraId="7E811116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387963EA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3FAE9A4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BE2060D" w14:textId="46F66F28" w:rsidR="00B06FA9" w:rsidRPr="004D2B23" w:rsidRDefault="00B06FA9" w:rsidP="00B06FA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270</w:t>
            </w:r>
            <w:bookmarkStart w:id="12" w:name="_GoBack"/>
            <w:r w:rsidR="00007299">
              <w:rPr>
                <w:sz w:val="20"/>
              </w:rPr>
              <w:t xml:space="preserve"> mL</w:t>
            </w:r>
            <w:bookmarkEnd w:id="12"/>
          </w:p>
        </w:tc>
        <w:tc>
          <w:tcPr>
            <w:tcW w:w="843" w:type="dxa"/>
            <w:shd w:val="clear" w:color="auto" w:fill="auto"/>
          </w:tcPr>
          <w:p w14:paraId="590F19E1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360C201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21FF5E1B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5CC9FF0F" w14:textId="77777777" w:rsidR="00B06FA9" w:rsidRPr="004D2B23" w:rsidRDefault="00B06FA9" w:rsidP="00B06FA9">
            <w:pPr>
              <w:pStyle w:val="NoSpacing"/>
              <w:rPr>
                <w:sz w:val="20"/>
              </w:rPr>
            </w:pPr>
          </w:p>
        </w:tc>
      </w:tr>
      <w:tr w:rsidR="00153A70" w14:paraId="0886FBBC" w14:textId="77777777" w:rsidTr="00196258">
        <w:trPr>
          <w:trHeight w:val="64"/>
        </w:trPr>
        <w:tc>
          <w:tcPr>
            <w:tcW w:w="1198" w:type="dxa"/>
          </w:tcPr>
          <w:p w14:paraId="6BB5C293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Time/Date</w:t>
            </w:r>
          </w:p>
        </w:tc>
        <w:tc>
          <w:tcPr>
            <w:tcW w:w="865" w:type="dxa"/>
          </w:tcPr>
          <w:p w14:paraId="36F683C7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Oral </w:t>
            </w:r>
          </w:p>
        </w:tc>
        <w:tc>
          <w:tcPr>
            <w:tcW w:w="863" w:type="dxa"/>
          </w:tcPr>
          <w:p w14:paraId="2A2A453B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</w:tcPr>
          <w:p w14:paraId="32AEBD67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</w:tcPr>
          <w:p w14:paraId="74A4F181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</w:tcPr>
          <w:p w14:paraId="76D1E0F0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17" w:type="dxa"/>
          </w:tcPr>
          <w:p w14:paraId="6CAF59C9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Urine</w:t>
            </w:r>
          </w:p>
        </w:tc>
        <w:tc>
          <w:tcPr>
            <w:tcW w:w="843" w:type="dxa"/>
          </w:tcPr>
          <w:p w14:paraId="1E1464F0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Emesis</w:t>
            </w:r>
          </w:p>
        </w:tc>
        <w:tc>
          <w:tcPr>
            <w:tcW w:w="814" w:type="dxa"/>
          </w:tcPr>
          <w:p w14:paraId="0F711AD7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</w:tcPr>
          <w:p w14:paraId="011F60CF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Drains</w:t>
            </w:r>
          </w:p>
          <w:p w14:paraId="2BD1893E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</w:tcPr>
          <w:p w14:paraId="208AD12A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992452" w14:paraId="53CFC536" w14:textId="77777777" w:rsidTr="00196258">
        <w:trPr>
          <w:trHeight w:val="64"/>
        </w:trPr>
        <w:tc>
          <w:tcPr>
            <w:tcW w:w="1198" w:type="dxa"/>
          </w:tcPr>
          <w:p w14:paraId="3D74115C" w14:textId="77777777" w:rsidR="00992452" w:rsidRDefault="00992452" w:rsidP="00992452">
            <w:pPr>
              <w:pStyle w:val="NoSpacing"/>
              <w:rPr>
                <w:b/>
              </w:rPr>
            </w:pPr>
            <w:r>
              <w:rPr>
                <w:b/>
              </w:rPr>
              <w:t>07-15</w:t>
            </w:r>
          </w:p>
        </w:tc>
        <w:tc>
          <w:tcPr>
            <w:tcW w:w="865" w:type="dxa"/>
          </w:tcPr>
          <w:p w14:paraId="2364770D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63" w:type="dxa"/>
          </w:tcPr>
          <w:p w14:paraId="65DE1EF2" w14:textId="77777777" w:rsidR="00992452" w:rsidRDefault="00992452" w:rsidP="00992452">
            <w:pPr>
              <w:pStyle w:val="NoSpacing"/>
              <w:rPr>
                <w:sz w:val="20"/>
              </w:rPr>
            </w:pPr>
            <w:r w:rsidRPr="00D20DB6">
              <w:rPr>
                <w:sz w:val="20"/>
              </w:rPr>
              <w:t>340 mL</w:t>
            </w:r>
          </w:p>
          <w:p w14:paraId="155629AB" w14:textId="77777777" w:rsidR="00992452" w:rsidRDefault="00992452" w:rsidP="00992452">
            <w:pPr>
              <w:pStyle w:val="NoSpacing"/>
              <w:rPr>
                <w:sz w:val="20"/>
              </w:rPr>
            </w:pPr>
          </w:p>
          <w:p w14:paraId="25895359" w14:textId="77777777" w:rsidR="00992452" w:rsidRDefault="00992452" w:rsidP="009924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204F4916" w14:textId="77777777" w:rsidR="00992452" w:rsidRDefault="00992452" w:rsidP="00992452">
            <w:pPr>
              <w:pStyle w:val="NoSpacing"/>
              <w:rPr>
                <w:sz w:val="20"/>
              </w:rPr>
            </w:pPr>
          </w:p>
          <w:p w14:paraId="1CB39CF9" w14:textId="77777777" w:rsidR="00992452" w:rsidRDefault="00992452" w:rsidP="00992452">
            <w:pPr>
              <w:pStyle w:val="NoSpacing"/>
              <w:rPr>
                <w:sz w:val="20"/>
              </w:rPr>
            </w:pPr>
          </w:p>
          <w:p w14:paraId="3199B6FA" w14:textId="77777777" w:rsidR="00992452" w:rsidRDefault="00992452" w:rsidP="00992452">
            <w:pPr>
              <w:pStyle w:val="NoSpacing"/>
              <w:rPr>
                <w:sz w:val="20"/>
              </w:rPr>
            </w:pPr>
          </w:p>
          <w:p w14:paraId="710D6956" w14:textId="77777777" w:rsidR="00992452" w:rsidRDefault="00992452" w:rsidP="00992452">
            <w:pPr>
              <w:pStyle w:val="NoSpacing"/>
              <w:rPr>
                <w:sz w:val="20"/>
              </w:rPr>
            </w:pPr>
          </w:p>
          <w:p w14:paraId="60380038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62" w:type="dxa"/>
          </w:tcPr>
          <w:p w14:paraId="5F6D3DA8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65" w:type="dxa"/>
          </w:tcPr>
          <w:p w14:paraId="7CE343A6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66" w:type="dxa"/>
          </w:tcPr>
          <w:p w14:paraId="35A72D8B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698AF93F" w14:textId="4BA2D667" w:rsidR="00992452" w:rsidRPr="004D2B23" w:rsidRDefault="00992452" w:rsidP="009924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250 mL</w:t>
            </w:r>
          </w:p>
        </w:tc>
        <w:tc>
          <w:tcPr>
            <w:tcW w:w="843" w:type="dxa"/>
          </w:tcPr>
          <w:p w14:paraId="1388D83B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14" w:type="dxa"/>
          </w:tcPr>
          <w:p w14:paraId="03DC09F5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18" w:type="dxa"/>
          </w:tcPr>
          <w:p w14:paraId="2B76AA29" w14:textId="77777777" w:rsidR="00992452" w:rsidRPr="004D2B23" w:rsidRDefault="00992452" w:rsidP="00992452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026ABC8B" w14:textId="6D1C545C" w:rsidR="00992452" w:rsidRPr="004D2B23" w:rsidRDefault="00992452" w:rsidP="009924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350 mL</w:t>
            </w:r>
          </w:p>
        </w:tc>
      </w:tr>
      <w:tr w:rsidR="00153A70" w14:paraId="16A37B64" w14:textId="77777777" w:rsidTr="00196258">
        <w:trPr>
          <w:trHeight w:val="64"/>
        </w:trPr>
        <w:tc>
          <w:tcPr>
            <w:tcW w:w="1198" w:type="dxa"/>
          </w:tcPr>
          <w:p w14:paraId="64CD829B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Shift total</w:t>
            </w:r>
          </w:p>
        </w:tc>
        <w:tc>
          <w:tcPr>
            <w:tcW w:w="865" w:type="dxa"/>
          </w:tcPr>
          <w:p w14:paraId="3B186AEC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3" w:type="dxa"/>
          </w:tcPr>
          <w:p w14:paraId="32CAA7D1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2" w:type="dxa"/>
          </w:tcPr>
          <w:p w14:paraId="2394CCBA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5" w:type="dxa"/>
          </w:tcPr>
          <w:p w14:paraId="1E7EC035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6" w:type="dxa"/>
          </w:tcPr>
          <w:p w14:paraId="7FA07369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49789242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43" w:type="dxa"/>
          </w:tcPr>
          <w:p w14:paraId="318FC56B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4" w:type="dxa"/>
          </w:tcPr>
          <w:p w14:paraId="739572BC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8" w:type="dxa"/>
          </w:tcPr>
          <w:p w14:paraId="475F8078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35D06445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</w:tr>
      <w:tr w:rsidR="00153A70" w14:paraId="64979F33" w14:textId="77777777" w:rsidTr="00196258">
        <w:trPr>
          <w:trHeight w:val="64"/>
        </w:trPr>
        <w:tc>
          <w:tcPr>
            <w:tcW w:w="1198" w:type="dxa"/>
          </w:tcPr>
          <w:p w14:paraId="18C17A61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Time/Date</w:t>
            </w:r>
          </w:p>
        </w:tc>
        <w:tc>
          <w:tcPr>
            <w:tcW w:w="865" w:type="dxa"/>
          </w:tcPr>
          <w:p w14:paraId="5180A6EA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Oral </w:t>
            </w:r>
          </w:p>
        </w:tc>
        <w:tc>
          <w:tcPr>
            <w:tcW w:w="863" w:type="dxa"/>
          </w:tcPr>
          <w:p w14:paraId="4F904A61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</w:tcPr>
          <w:p w14:paraId="6D82503D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</w:tcPr>
          <w:p w14:paraId="3B4D2EAB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</w:tcPr>
          <w:p w14:paraId="1B042F5D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17" w:type="dxa"/>
          </w:tcPr>
          <w:p w14:paraId="0A99C314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Urine</w:t>
            </w:r>
          </w:p>
        </w:tc>
        <w:tc>
          <w:tcPr>
            <w:tcW w:w="843" w:type="dxa"/>
          </w:tcPr>
          <w:p w14:paraId="47DD83E6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Emesis</w:t>
            </w:r>
          </w:p>
        </w:tc>
        <w:tc>
          <w:tcPr>
            <w:tcW w:w="814" w:type="dxa"/>
          </w:tcPr>
          <w:p w14:paraId="1819D9C9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</w:tcPr>
          <w:p w14:paraId="32C4B595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Drains</w:t>
            </w:r>
          </w:p>
          <w:p w14:paraId="3F76EC7F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</w:tcPr>
          <w:p w14:paraId="505B9608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153A70" w14:paraId="52BEDCFD" w14:textId="77777777" w:rsidTr="00196258">
        <w:trPr>
          <w:trHeight w:val="64"/>
        </w:trPr>
        <w:tc>
          <w:tcPr>
            <w:tcW w:w="1198" w:type="dxa"/>
          </w:tcPr>
          <w:p w14:paraId="27C34FC1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15-23</w:t>
            </w:r>
          </w:p>
        </w:tc>
        <w:tc>
          <w:tcPr>
            <w:tcW w:w="865" w:type="dxa"/>
          </w:tcPr>
          <w:p w14:paraId="0AD76BFE" w14:textId="77777777" w:rsidR="00153A70" w:rsidRDefault="00153A70" w:rsidP="00196258">
            <w:pPr>
              <w:pStyle w:val="NoSpacing"/>
              <w:rPr>
                <w:sz w:val="20"/>
              </w:rPr>
            </w:pPr>
          </w:p>
          <w:p w14:paraId="0556B0B1" w14:textId="77777777" w:rsidR="00153A70" w:rsidRDefault="00153A70" w:rsidP="00196258">
            <w:pPr>
              <w:pStyle w:val="NoSpacing"/>
              <w:rPr>
                <w:sz w:val="20"/>
              </w:rPr>
            </w:pPr>
          </w:p>
          <w:p w14:paraId="69C5195D" w14:textId="77777777" w:rsidR="00153A70" w:rsidRDefault="00153A70" w:rsidP="00196258">
            <w:pPr>
              <w:pStyle w:val="NoSpacing"/>
              <w:rPr>
                <w:sz w:val="20"/>
              </w:rPr>
            </w:pPr>
          </w:p>
          <w:p w14:paraId="496B0549" w14:textId="77777777" w:rsidR="00153A70" w:rsidRDefault="00153A70" w:rsidP="00196258">
            <w:pPr>
              <w:pStyle w:val="NoSpacing"/>
              <w:rPr>
                <w:sz w:val="20"/>
              </w:rPr>
            </w:pPr>
          </w:p>
          <w:p w14:paraId="29B6AF11" w14:textId="77777777" w:rsidR="00153A70" w:rsidRDefault="00153A70" w:rsidP="00196258">
            <w:pPr>
              <w:pStyle w:val="NoSpacing"/>
              <w:rPr>
                <w:sz w:val="20"/>
              </w:rPr>
            </w:pPr>
          </w:p>
          <w:p w14:paraId="6066E814" w14:textId="77777777" w:rsidR="00153A70" w:rsidRDefault="00153A70" w:rsidP="00196258">
            <w:pPr>
              <w:pStyle w:val="NoSpacing"/>
              <w:rPr>
                <w:sz w:val="20"/>
              </w:rPr>
            </w:pPr>
          </w:p>
          <w:p w14:paraId="66E23D5A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3" w:type="dxa"/>
          </w:tcPr>
          <w:p w14:paraId="105889BA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2" w:type="dxa"/>
          </w:tcPr>
          <w:p w14:paraId="2FA86ADB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5" w:type="dxa"/>
          </w:tcPr>
          <w:p w14:paraId="6B181591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6" w:type="dxa"/>
          </w:tcPr>
          <w:p w14:paraId="16005CDB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26F6F6BB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43" w:type="dxa"/>
          </w:tcPr>
          <w:p w14:paraId="6B642E1C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4" w:type="dxa"/>
          </w:tcPr>
          <w:p w14:paraId="7D49E1A1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8" w:type="dxa"/>
          </w:tcPr>
          <w:p w14:paraId="1661C844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404C8609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</w:tr>
      <w:tr w:rsidR="00153A70" w14:paraId="6A9C49AE" w14:textId="77777777" w:rsidTr="00196258">
        <w:trPr>
          <w:trHeight w:val="64"/>
        </w:trPr>
        <w:tc>
          <w:tcPr>
            <w:tcW w:w="1198" w:type="dxa"/>
          </w:tcPr>
          <w:p w14:paraId="7F30A7F4" w14:textId="77777777" w:rsidR="00153A70" w:rsidRDefault="00153A70" w:rsidP="00196258">
            <w:pPr>
              <w:pStyle w:val="NoSpacing"/>
              <w:rPr>
                <w:b/>
              </w:rPr>
            </w:pPr>
            <w:r>
              <w:rPr>
                <w:b/>
              </w:rPr>
              <w:t>Shift total</w:t>
            </w:r>
          </w:p>
        </w:tc>
        <w:tc>
          <w:tcPr>
            <w:tcW w:w="865" w:type="dxa"/>
          </w:tcPr>
          <w:p w14:paraId="08A837E0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3" w:type="dxa"/>
          </w:tcPr>
          <w:p w14:paraId="38744625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2" w:type="dxa"/>
          </w:tcPr>
          <w:p w14:paraId="5FB3D501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5" w:type="dxa"/>
          </w:tcPr>
          <w:p w14:paraId="10FF5FDB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66" w:type="dxa"/>
          </w:tcPr>
          <w:p w14:paraId="300D1BE4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01F3D0AD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43" w:type="dxa"/>
          </w:tcPr>
          <w:p w14:paraId="01991DF8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4" w:type="dxa"/>
          </w:tcPr>
          <w:p w14:paraId="6A1F7182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8" w:type="dxa"/>
          </w:tcPr>
          <w:p w14:paraId="535284D3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  <w:tc>
          <w:tcPr>
            <w:tcW w:w="817" w:type="dxa"/>
          </w:tcPr>
          <w:p w14:paraId="1FBE825F" w14:textId="77777777" w:rsidR="00153A70" w:rsidRPr="004D2B23" w:rsidRDefault="00153A70" w:rsidP="00196258">
            <w:pPr>
              <w:pStyle w:val="NoSpacing"/>
              <w:rPr>
                <w:sz w:val="20"/>
              </w:rPr>
            </w:pPr>
          </w:p>
        </w:tc>
      </w:tr>
      <w:tr w:rsidR="00153A70" w14:paraId="508D4545" w14:textId="77777777" w:rsidTr="00196258">
        <w:trPr>
          <w:trHeight w:val="64"/>
        </w:trPr>
        <w:tc>
          <w:tcPr>
            <w:tcW w:w="9628" w:type="dxa"/>
            <w:gridSpan w:val="11"/>
          </w:tcPr>
          <w:p w14:paraId="08C389E1" w14:textId="77777777" w:rsidR="00153A70" w:rsidRPr="00551C6B" w:rsidRDefault="00153A70" w:rsidP="00196258">
            <w:pPr>
              <w:pStyle w:val="NoSpacing"/>
            </w:pPr>
            <w:r w:rsidRPr="00551C6B">
              <w:t>This is a worksheet to be used at the bedside to keep track of each intake and output. The totals will then be recorded on the 24 Hour Fluid Balance Sheet</w:t>
            </w:r>
          </w:p>
        </w:tc>
      </w:tr>
      <w:tr w:rsidR="00153A70" w14:paraId="26B32DA7" w14:textId="77777777" w:rsidTr="00196258">
        <w:trPr>
          <w:trHeight w:val="64"/>
        </w:trPr>
        <w:tc>
          <w:tcPr>
            <w:tcW w:w="9628" w:type="dxa"/>
            <w:gridSpan w:val="11"/>
          </w:tcPr>
          <w:p w14:paraId="56A73B50" w14:textId="77777777" w:rsidR="00153A70" w:rsidRDefault="00153A70" w:rsidP="00196258">
            <w:pPr>
              <w:pStyle w:val="NoSpacing"/>
            </w:pPr>
            <w:r w:rsidRPr="003D2C7D">
              <w:rPr>
                <w:b/>
              </w:rPr>
              <w:t xml:space="preserve">Fluid </w:t>
            </w:r>
            <w:r>
              <w:rPr>
                <w:b/>
              </w:rPr>
              <w:t>m</w:t>
            </w:r>
            <w:r w:rsidRPr="003D2C7D">
              <w:rPr>
                <w:b/>
              </w:rPr>
              <w:t>easurements:</w:t>
            </w:r>
            <w:r>
              <w:t xml:space="preserve"> 1 cc = 1 </w:t>
            </w:r>
            <w:proofErr w:type="gramStart"/>
            <w:r>
              <w:t>mL  •</w:t>
            </w:r>
            <w:proofErr w:type="gramEnd"/>
            <w:r>
              <w:t xml:space="preserve">  1 ounce = 30 mL  •  8 ounces = 240 mL  •  1 cup = 8 ounces = 240 mL</w:t>
            </w:r>
          </w:p>
          <w:p w14:paraId="689B3E55" w14:textId="77777777" w:rsidR="00153A70" w:rsidRPr="00551C6B" w:rsidRDefault="00153A70" w:rsidP="00196258">
            <w:pPr>
              <w:pStyle w:val="NoSpacing"/>
            </w:pPr>
            <w:r>
              <w:t>• 4 cups = 32 ounces = 1 quart or 1 liter = 1000 mL</w:t>
            </w:r>
          </w:p>
        </w:tc>
      </w:tr>
    </w:tbl>
    <w:p w14:paraId="081BE7F5" w14:textId="77777777" w:rsidR="00DA4634" w:rsidRPr="006B1821" w:rsidRDefault="00DA4634" w:rsidP="00F8667A">
      <w:pPr>
        <w:pStyle w:val="NoSpacing"/>
      </w:pPr>
    </w:p>
    <w:sectPr w:rsidR="00DA4634" w:rsidRPr="006B1821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3881" w14:textId="77777777" w:rsidR="009160A4" w:rsidRDefault="009160A4" w:rsidP="00D94BC8">
      <w:r>
        <w:separator/>
      </w:r>
    </w:p>
    <w:p w14:paraId="13EE6643" w14:textId="77777777" w:rsidR="009160A4" w:rsidRDefault="009160A4"/>
  </w:endnote>
  <w:endnote w:type="continuationSeparator" w:id="0">
    <w:p w14:paraId="14C2198C" w14:textId="77777777" w:rsidR="009160A4" w:rsidRDefault="009160A4" w:rsidP="00D94BC8">
      <w:r>
        <w:continuationSeparator/>
      </w:r>
    </w:p>
    <w:p w14:paraId="755AD551" w14:textId="77777777" w:rsidR="009160A4" w:rsidRDefault="0091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67CCD0E8" w:rsidR="004A729E" w:rsidRPr="00F2263D" w:rsidRDefault="004A729E">
    <w:pPr>
      <w:pStyle w:val="Footer"/>
      <w:rPr>
        <w:color w:val="808080" w:themeColor="background1" w:themeShade="80"/>
      </w:rPr>
    </w:pPr>
    <w:r w:rsidRPr="00F2263D">
      <w:rPr>
        <w:color w:val="808080" w:themeColor="background1" w:themeShade="80"/>
      </w:rPr>
      <w:t>Version 1.0</w:t>
    </w:r>
    <w:r w:rsidR="0004332D" w:rsidRPr="00F2263D">
      <w:rPr>
        <w:color w:val="808080" w:themeColor="background1" w:themeShade="80"/>
      </w:rPr>
      <w:t>,</w:t>
    </w:r>
    <w:r w:rsidRPr="00F2263D">
      <w:rPr>
        <w:color w:val="808080" w:themeColor="background1" w:themeShade="80"/>
      </w:rPr>
      <w:t xml:space="preserve"> </w:t>
    </w:r>
    <w:r w:rsidR="0004332D" w:rsidRPr="00F2263D">
      <w:rPr>
        <w:color w:val="808080" w:themeColor="background1" w:themeShade="80"/>
      </w:rPr>
      <w:t xml:space="preserve">June 2018 </w:t>
    </w:r>
    <w:r w:rsidR="0004332D" w:rsidRPr="00F2263D">
      <w:rPr>
        <w:color w:val="808080" w:themeColor="background1" w:themeShade="80"/>
      </w:rPr>
      <w:tab/>
    </w:r>
    <w:r w:rsidR="0004332D" w:rsidRPr="00F2263D">
      <w:rPr>
        <w:color w:val="808080" w:themeColor="background1" w:themeShade="80"/>
      </w:rPr>
      <w:tab/>
    </w:r>
    <w:sdt>
      <w:sdtPr>
        <w:rPr>
          <w:color w:val="808080" w:themeColor="background1" w:themeShade="80"/>
        </w:rPr>
        <w:id w:val="-8926525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2134307566"/>
            <w:docPartObj>
              <w:docPartGallery w:val="Page Numbers (Top of Page)"/>
              <w:docPartUnique/>
            </w:docPartObj>
          </w:sdtPr>
          <w:sdtEndPr/>
          <w:sdtContent>
            <w:r w:rsidRPr="00F2263D">
              <w:rPr>
                <w:color w:val="808080" w:themeColor="background1" w:themeShade="80"/>
              </w:rPr>
              <w:t xml:space="preserve">Page 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263D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934C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263D">
              <w:rPr>
                <w:color w:val="808080" w:themeColor="background1" w:themeShade="80"/>
              </w:rPr>
              <w:t xml:space="preserve"> of 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263D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934CE">
              <w:rPr>
                <w:b/>
                <w:bCs/>
                <w:noProof/>
                <w:color w:val="808080" w:themeColor="background1" w:themeShade="80"/>
              </w:rPr>
              <w:t>5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BB79" w14:textId="77777777" w:rsidR="009160A4" w:rsidRDefault="009160A4" w:rsidP="00D94BC8">
      <w:r>
        <w:separator/>
      </w:r>
    </w:p>
    <w:p w14:paraId="5AFCE314" w14:textId="77777777" w:rsidR="009160A4" w:rsidRDefault="009160A4"/>
  </w:footnote>
  <w:footnote w:type="continuationSeparator" w:id="0">
    <w:p w14:paraId="4BA0E84F" w14:textId="77777777" w:rsidR="009160A4" w:rsidRDefault="009160A4" w:rsidP="00D94BC8">
      <w:r>
        <w:continuationSeparator/>
      </w:r>
    </w:p>
    <w:p w14:paraId="76FCECB2" w14:textId="77777777" w:rsidR="009160A4" w:rsidRDefault="0091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34D5F910" w:rsidR="00EB2908" w:rsidRPr="008756A2" w:rsidRDefault="00807DBF" w:rsidP="00347466">
    <w:pPr>
      <w:pStyle w:val="Header"/>
      <w:jc w:val="right"/>
      <w:rPr>
        <w:b/>
        <w:color w:val="808080" w:themeColor="background1" w:themeShade="80"/>
      </w:rPr>
    </w:pPr>
    <w:r w:rsidRPr="00F2263D">
      <w:rPr>
        <w:color w:val="808080" w:themeColor="background1" w:themeShade="80"/>
      </w:rPr>
      <w:t xml:space="preserve">Nursing Anne Simulator Scenarios </w:t>
    </w:r>
    <w:r w:rsidRPr="00F2263D">
      <w:rPr>
        <w:rFonts w:cstheme="minorHAnsi"/>
        <w:color w:val="808080" w:themeColor="background1" w:themeShade="80"/>
      </w:rPr>
      <w:t>•</w:t>
    </w:r>
    <w:r w:rsidRPr="00F2263D">
      <w:rPr>
        <w:color w:val="808080" w:themeColor="background1" w:themeShade="80"/>
      </w:rPr>
      <w:t xml:space="preserve"> </w:t>
    </w:r>
    <w:r w:rsidR="00A92129" w:rsidRPr="00A92129">
      <w:rPr>
        <w:color w:val="808080" w:themeColor="background1" w:themeShade="80"/>
      </w:rPr>
      <w:t>Feeding by Nasogastric Tube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29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75C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78"/>
    <w:rsid w:val="001050DC"/>
    <w:rsid w:val="0010646C"/>
    <w:rsid w:val="00107DD4"/>
    <w:rsid w:val="001129D2"/>
    <w:rsid w:val="0011547F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0528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1F12"/>
    <w:rsid w:val="001C2E82"/>
    <w:rsid w:val="001C498D"/>
    <w:rsid w:val="001C558D"/>
    <w:rsid w:val="001C60E1"/>
    <w:rsid w:val="001D2F9B"/>
    <w:rsid w:val="001D3FF2"/>
    <w:rsid w:val="001D42FA"/>
    <w:rsid w:val="001D4932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3A31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1382"/>
    <w:rsid w:val="002F45BA"/>
    <w:rsid w:val="0030263A"/>
    <w:rsid w:val="00303F3D"/>
    <w:rsid w:val="00305527"/>
    <w:rsid w:val="003059CF"/>
    <w:rsid w:val="0030682F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5E31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518A"/>
    <w:rsid w:val="00395FAD"/>
    <w:rsid w:val="00396E75"/>
    <w:rsid w:val="003A1E19"/>
    <w:rsid w:val="003A4650"/>
    <w:rsid w:val="003A5D4A"/>
    <w:rsid w:val="003A7523"/>
    <w:rsid w:val="003B066E"/>
    <w:rsid w:val="003B0D6D"/>
    <w:rsid w:val="003B28C8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38AB"/>
    <w:rsid w:val="004859F5"/>
    <w:rsid w:val="004910B5"/>
    <w:rsid w:val="0049162B"/>
    <w:rsid w:val="00492948"/>
    <w:rsid w:val="0049564F"/>
    <w:rsid w:val="004971D3"/>
    <w:rsid w:val="004A1249"/>
    <w:rsid w:val="004A31D3"/>
    <w:rsid w:val="004A729E"/>
    <w:rsid w:val="004B0275"/>
    <w:rsid w:val="004B2918"/>
    <w:rsid w:val="004B4DC0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0B9A"/>
    <w:rsid w:val="005110C5"/>
    <w:rsid w:val="00514E9C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189C"/>
    <w:rsid w:val="00605426"/>
    <w:rsid w:val="006103B7"/>
    <w:rsid w:val="00610EE7"/>
    <w:rsid w:val="006131E5"/>
    <w:rsid w:val="00620C22"/>
    <w:rsid w:val="00621878"/>
    <w:rsid w:val="00630080"/>
    <w:rsid w:val="00630DC1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34CE"/>
    <w:rsid w:val="00696631"/>
    <w:rsid w:val="006A223A"/>
    <w:rsid w:val="006A3460"/>
    <w:rsid w:val="006A4C1C"/>
    <w:rsid w:val="006A4CB0"/>
    <w:rsid w:val="006B0907"/>
    <w:rsid w:val="006B1821"/>
    <w:rsid w:val="006B1F51"/>
    <w:rsid w:val="006C04AA"/>
    <w:rsid w:val="006C1697"/>
    <w:rsid w:val="006C3A53"/>
    <w:rsid w:val="006C3D5B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599F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3D0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192D"/>
    <w:rsid w:val="007A39B2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1B82"/>
    <w:rsid w:val="00812015"/>
    <w:rsid w:val="008140AD"/>
    <w:rsid w:val="00814F12"/>
    <w:rsid w:val="0081508E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0FC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64B5D"/>
    <w:rsid w:val="0087253E"/>
    <w:rsid w:val="00873756"/>
    <w:rsid w:val="00873782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0F98"/>
    <w:rsid w:val="008D1025"/>
    <w:rsid w:val="008D2DFA"/>
    <w:rsid w:val="008D36F7"/>
    <w:rsid w:val="008D5A31"/>
    <w:rsid w:val="008D7FFA"/>
    <w:rsid w:val="008E3109"/>
    <w:rsid w:val="008E3D1E"/>
    <w:rsid w:val="008E4008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160A4"/>
    <w:rsid w:val="009221AA"/>
    <w:rsid w:val="009257BC"/>
    <w:rsid w:val="00930052"/>
    <w:rsid w:val="0093060E"/>
    <w:rsid w:val="00935C98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73C37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2EB2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0307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56A4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651C"/>
    <w:rsid w:val="00B773C5"/>
    <w:rsid w:val="00B8067E"/>
    <w:rsid w:val="00B80925"/>
    <w:rsid w:val="00B8167C"/>
    <w:rsid w:val="00B83468"/>
    <w:rsid w:val="00B84886"/>
    <w:rsid w:val="00B9035E"/>
    <w:rsid w:val="00B91CC2"/>
    <w:rsid w:val="00B9202C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3707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306FA"/>
    <w:rsid w:val="00C40504"/>
    <w:rsid w:val="00C436EB"/>
    <w:rsid w:val="00C439FB"/>
    <w:rsid w:val="00C43FA8"/>
    <w:rsid w:val="00C50BF6"/>
    <w:rsid w:val="00C53AF3"/>
    <w:rsid w:val="00C540BA"/>
    <w:rsid w:val="00C551F9"/>
    <w:rsid w:val="00C5632F"/>
    <w:rsid w:val="00C56A64"/>
    <w:rsid w:val="00C5712C"/>
    <w:rsid w:val="00C62032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D96"/>
    <w:rsid w:val="00CA49FA"/>
    <w:rsid w:val="00CA5D9D"/>
    <w:rsid w:val="00CA6203"/>
    <w:rsid w:val="00CA7109"/>
    <w:rsid w:val="00CB2647"/>
    <w:rsid w:val="00CC2F02"/>
    <w:rsid w:val="00CC5F65"/>
    <w:rsid w:val="00CD63E3"/>
    <w:rsid w:val="00CE0020"/>
    <w:rsid w:val="00CE3DBE"/>
    <w:rsid w:val="00CE3FCF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3457"/>
    <w:rsid w:val="00D1370B"/>
    <w:rsid w:val="00D214F3"/>
    <w:rsid w:val="00D21701"/>
    <w:rsid w:val="00D227DE"/>
    <w:rsid w:val="00D229D2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4E6F"/>
    <w:rsid w:val="00D55EE4"/>
    <w:rsid w:val="00D61FFD"/>
    <w:rsid w:val="00D6419C"/>
    <w:rsid w:val="00D701A0"/>
    <w:rsid w:val="00D702C3"/>
    <w:rsid w:val="00D711E8"/>
    <w:rsid w:val="00D83C2E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30CC"/>
    <w:rsid w:val="00EE0B54"/>
    <w:rsid w:val="00EE2285"/>
    <w:rsid w:val="00EE27C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539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743F4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3632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3C433"/>
  <w15:docId w15:val="{972A45AD-E4DD-4BB8-8CA7-71537AE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9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33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33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DE9"/>
    <w:pPr>
      <w:outlineLvl w:val="2"/>
    </w:pPr>
    <w:rPr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336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5336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5336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5336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C8"/>
  </w:style>
  <w:style w:type="character" w:styleId="Strong">
    <w:name w:val="Strong"/>
    <w:uiPriority w:val="22"/>
    <w:qFormat/>
    <w:rsid w:val="00575336"/>
    <w:rPr>
      <w:b/>
      <w:bCs/>
    </w:rPr>
  </w:style>
  <w:style w:type="paragraph" w:styleId="NoSpacing">
    <w:name w:val="No Spacing"/>
    <w:uiPriority w:val="1"/>
    <w:qFormat/>
    <w:rsid w:val="009F4011"/>
    <w:pPr>
      <w:spacing w:before="0" w:after="0" w:line="240" w:lineRule="auto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C8"/>
  </w:style>
  <w:style w:type="character" w:styleId="CommentReference">
    <w:name w:val="annotation reference"/>
    <w:basedOn w:val="DefaultParagraphFont"/>
    <w:uiPriority w:val="99"/>
    <w:semiHidden/>
    <w:unhideWhenUsed/>
    <w:rsid w:val="0089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E05"/>
  </w:style>
  <w:style w:type="character" w:customStyle="1" w:styleId="CommentTextChar">
    <w:name w:val="Comment Text Char"/>
    <w:basedOn w:val="DefaultParagraphFont"/>
    <w:link w:val="CommentText"/>
    <w:uiPriority w:val="99"/>
    <w:rsid w:val="0089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36"/>
    <w:pPr>
      <w:ind w:left="720"/>
      <w:contextualSpacing/>
    </w:pPr>
  </w:style>
  <w:style w:type="table" w:styleId="TableGrid">
    <w:name w:val="Table Grid"/>
    <w:basedOn w:val="TableNormal"/>
    <w:uiPriority w:val="39"/>
    <w:rsid w:val="00B5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0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CA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575336"/>
    <w:pPr>
      <w:spacing w:before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33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533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7533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D7DE9"/>
    <w:rPr>
      <w:color w:val="1F3763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753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336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336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533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575336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7533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533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336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33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7533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7533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7533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7533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TableNormal"/>
    <w:uiPriority w:val="42"/>
    <w:rsid w:val="001F65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364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D30CC"/>
    <w:pPr>
      <w:spacing w:before="0"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.asn.au/wp-content/uploads/2015/04/Enteral-nutrition-manual-January-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81FF-C5DA-4352-896C-1FE4F8B8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1390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Liza Ljungberg Sørensen</cp:lastModifiedBy>
  <cp:revision>31</cp:revision>
  <cp:lastPrinted>2018-06-21T09:43:00Z</cp:lastPrinted>
  <dcterms:created xsi:type="dcterms:W3CDTF">2018-06-21T14:40:00Z</dcterms:created>
  <dcterms:modified xsi:type="dcterms:W3CDTF">2018-07-09T13:05:00Z</dcterms:modified>
  <cp:category/>
</cp:coreProperties>
</file>